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6946" w:type="dxa"/>
        <w:tblLayout w:type="fixed"/>
        <w:tblCellMar>
          <w:left w:w="70" w:type="dxa"/>
          <w:right w:w="70" w:type="dxa"/>
        </w:tblCellMar>
        <w:tblLook w:val="0000" w:firstRow="0" w:lastRow="0" w:firstColumn="0" w:lastColumn="0" w:noHBand="0" w:noVBand="0"/>
      </w:tblPr>
      <w:tblGrid>
        <w:gridCol w:w="6946"/>
      </w:tblGrid>
      <w:tr w:rsidR="00AF66DF" w:rsidRPr="006C69D1" w14:paraId="0C212873" w14:textId="77777777" w:rsidTr="009A030C">
        <w:trPr>
          <w:cantSplit/>
          <w:trHeight w:val="502"/>
        </w:trPr>
        <w:tc>
          <w:tcPr>
            <w:tcW w:w="6946" w:type="dxa"/>
            <w:shd w:val="clear" w:color="auto" w:fill="FFFFFF" w:themeFill="background1"/>
          </w:tcPr>
          <w:p w14:paraId="64023A7B" w14:textId="58263DF6" w:rsidR="00AF66DF" w:rsidRPr="006C69D1" w:rsidRDefault="00AF66DF" w:rsidP="00AF66DF">
            <w:pPr>
              <w:pStyle w:val="Kopfzeile"/>
              <w:tabs>
                <w:tab w:val="clear" w:pos="4536"/>
                <w:tab w:val="clear" w:pos="9072"/>
              </w:tabs>
              <w:rPr>
                <w:rFonts w:ascii="Arial" w:hAnsi="Arial" w:cs="Arial"/>
                <w:sz w:val="10"/>
                <w:szCs w:val="10"/>
              </w:rPr>
            </w:pPr>
          </w:p>
          <w:p w14:paraId="448A63BD" w14:textId="77777777" w:rsidR="00AF66DF" w:rsidRPr="006C69D1" w:rsidRDefault="00AF66DF" w:rsidP="00AF66DF">
            <w:pPr>
              <w:pStyle w:val="Kopfzeile"/>
              <w:tabs>
                <w:tab w:val="clear" w:pos="4536"/>
                <w:tab w:val="clear" w:pos="9072"/>
              </w:tabs>
              <w:rPr>
                <w:rFonts w:ascii="Arial" w:hAnsi="Arial" w:cs="Arial"/>
              </w:rPr>
            </w:pPr>
            <w:r w:rsidRPr="006C69D1">
              <w:rPr>
                <w:rFonts w:ascii="Arial" w:hAnsi="Arial" w:cs="Arial"/>
                <w:sz w:val="18"/>
                <w:szCs w:val="18"/>
              </w:rPr>
              <w:t>Qualitätshandbuch der Praxis Dr. __________________________</w:t>
            </w:r>
          </w:p>
        </w:tc>
      </w:tr>
      <w:tr w:rsidR="00AF66DF" w:rsidRPr="006C69D1" w14:paraId="3DB63928" w14:textId="77777777" w:rsidTr="009A030C">
        <w:trPr>
          <w:cantSplit/>
          <w:trHeight w:val="71"/>
        </w:trPr>
        <w:tc>
          <w:tcPr>
            <w:tcW w:w="6946" w:type="dxa"/>
            <w:tcBorders>
              <w:bottom w:val="single" w:sz="4" w:space="0" w:color="000000"/>
            </w:tcBorders>
            <w:shd w:val="clear" w:color="auto" w:fill="FFFFFF" w:themeFill="background1"/>
            <w:vAlign w:val="center"/>
          </w:tcPr>
          <w:p w14:paraId="7107FD05" w14:textId="67756AAC" w:rsidR="009A030C" w:rsidRPr="006C69D1" w:rsidRDefault="009A030C" w:rsidP="009A030C">
            <w:pPr>
              <w:pStyle w:val="Kopfzeile"/>
              <w:rPr>
                <w:rFonts w:ascii="Arial" w:hAnsi="Arial" w:cs="Arial"/>
                <w:b/>
              </w:rPr>
            </w:pPr>
            <w:r w:rsidRPr="006C69D1">
              <w:rPr>
                <w:rFonts w:ascii="Arial" w:hAnsi="Arial" w:cs="Arial"/>
                <w:b/>
              </w:rPr>
              <w:t xml:space="preserve">FB </w:t>
            </w:r>
            <w:r w:rsidR="00247B8F">
              <w:t xml:space="preserve"> </w:t>
            </w:r>
            <w:proofErr w:type="spellStart"/>
            <w:r w:rsidR="00247B8F" w:rsidRPr="00247B8F">
              <w:rPr>
                <w:rFonts w:ascii="Arial" w:hAnsi="Arial" w:cs="Arial"/>
                <w:b/>
              </w:rPr>
              <w:t>Divestment</w:t>
            </w:r>
            <w:proofErr w:type="spellEnd"/>
            <w:r w:rsidR="00247B8F" w:rsidRPr="00247B8F">
              <w:rPr>
                <w:rFonts w:ascii="Arial" w:hAnsi="Arial" w:cs="Arial"/>
                <w:b/>
              </w:rPr>
              <w:t xml:space="preserve"> und </w:t>
            </w:r>
            <w:proofErr w:type="spellStart"/>
            <w:r w:rsidR="00247B8F" w:rsidRPr="00247B8F">
              <w:rPr>
                <w:rFonts w:ascii="Arial" w:hAnsi="Arial" w:cs="Arial"/>
                <w:b/>
              </w:rPr>
              <w:t>Reinvestment</w:t>
            </w:r>
            <w:proofErr w:type="spellEnd"/>
          </w:p>
          <w:p w14:paraId="6F196EA2" w14:textId="2CFFD051" w:rsidR="00AF66DF" w:rsidRPr="006C69D1" w:rsidRDefault="00AF66DF" w:rsidP="009A030C">
            <w:pPr>
              <w:pStyle w:val="Kopfzeile"/>
              <w:tabs>
                <w:tab w:val="clear" w:pos="4536"/>
                <w:tab w:val="clear" w:pos="9072"/>
              </w:tabs>
              <w:rPr>
                <w:rFonts w:ascii="Arial" w:hAnsi="Arial" w:cs="Arial"/>
              </w:rPr>
            </w:pPr>
          </w:p>
        </w:tc>
      </w:tr>
    </w:tbl>
    <w:p w14:paraId="5159383C" w14:textId="421F523E" w:rsidR="00873440" w:rsidRPr="006C69D1" w:rsidRDefault="00A42B71" w:rsidP="009A030C">
      <w:pPr>
        <w:spacing w:after="0"/>
        <w:rPr>
          <w:rFonts w:ascii="Arial" w:hAnsi="Arial" w:cs="Arial"/>
          <w:b/>
          <w:color w:val="FFFFFF" w:themeColor="background1"/>
        </w:rPr>
      </w:pPr>
      <w:r w:rsidRPr="006C69D1">
        <w:rPr>
          <w:rFonts w:ascii="Arial" w:hAnsi="Arial" w:cs="Arial"/>
          <w:noProof/>
        </w:rPr>
        <w:drawing>
          <wp:anchor distT="0" distB="0" distL="114300" distR="114300" simplePos="0" relativeHeight="251658239" behindDoc="1" locked="0" layoutInCell="1" allowOverlap="1" wp14:anchorId="11CB8243" wp14:editId="205042CC">
            <wp:simplePos x="0" y="0"/>
            <wp:positionH relativeFrom="page">
              <wp:align>right</wp:align>
            </wp:positionH>
            <wp:positionV relativeFrom="page">
              <wp:align>top</wp:align>
            </wp:positionV>
            <wp:extent cx="10678795" cy="1371664"/>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78795" cy="1371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6DF" w:rsidRPr="006C69D1">
        <w:rPr>
          <w:rFonts w:ascii="Arial" w:hAnsi="Arial" w:cs="Arial"/>
          <w:noProof/>
        </w:rPr>
        <w:br w:type="textWrapping" w:clear="all"/>
      </w:r>
    </w:p>
    <w:p w14:paraId="6482B00E" w14:textId="07579189" w:rsidR="00BE03A1" w:rsidRPr="006C69D1" w:rsidRDefault="00BE03A1" w:rsidP="00650B64">
      <w:pPr>
        <w:spacing w:after="0"/>
        <w:rPr>
          <w:rFonts w:ascii="Arial" w:hAnsi="Arial" w:cs="Arial"/>
          <w:b/>
          <w:color w:val="FFFFFF" w:themeColor="background1"/>
        </w:rPr>
      </w:pPr>
    </w:p>
    <w:p w14:paraId="11051C75" w14:textId="77777777" w:rsidR="00247B8F" w:rsidRDefault="00247B8F" w:rsidP="00247B8F">
      <w:pPr>
        <w:spacing w:after="0" w:line="240" w:lineRule="auto"/>
        <w:rPr>
          <w:rFonts w:ascii="Arial" w:hAnsi="Arial" w:cs="Arial"/>
          <w:sz w:val="20"/>
          <w:szCs w:val="20"/>
        </w:rPr>
      </w:pPr>
    </w:p>
    <w:p w14:paraId="252AD7A3" w14:textId="5535EE55" w:rsidR="00247B8F" w:rsidRPr="006B00BA" w:rsidRDefault="00247B8F" w:rsidP="00247B8F">
      <w:pPr>
        <w:spacing w:after="0" w:line="240" w:lineRule="auto"/>
        <w:rPr>
          <w:rFonts w:ascii="Arial" w:hAnsi="Arial" w:cs="Arial"/>
          <w:sz w:val="20"/>
          <w:szCs w:val="20"/>
        </w:rPr>
      </w:pPr>
      <w:r w:rsidRPr="006B00BA">
        <w:rPr>
          <w:rFonts w:ascii="Arial" w:hAnsi="Arial" w:cs="Arial"/>
          <w:sz w:val="20"/>
          <w:szCs w:val="20"/>
        </w:rPr>
        <w:t xml:space="preserve">Unter </w:t>
      </w:r>
      <w:proofErr w:type="spellStart"/>
      <w:r w:rsidRPr="006B00BA">
        <w:rPr>
          <w:rFonts w:ascii="Arial" w:hAnsi="Arial" w:cs="Arial"/>
          <w:sz w:val="20"/>
          <w:szCs w:val="20"/>
        </w:rPr>
        <w:t>Divestment</w:t>
      </w:r>
      <w:proofErr w:type="spellEnd"/>
      <w:r w:rsidRPr="006B00BA">
        <w:rPr>
          <w:rFonts w:ascii="Arial" w:hAnsi="Arial" w:cs="Arial"/>
          <w:sz w:val="20"/>
          <w:szCs w:val="20"/>
        </w:rPr>
        <w:t xml:space="preserve"> und </w:t>
      </w:r>
      <w:proofErr w:type="spellStart"/>
      <w:r w:rsidRPr="006B00BA">
        <w:rPr>
          <w:rFonts w:ascii="Arial" w:hAnsi="Arial" w:cs="Arial"/>
          <w:sz w:val="20"/>
          <w:szCs w:val="20"/>
        </w:rPr>
        <w:t>Reinvestment</w:t>
      </w:r>
      <w:proofErr w:type="spellEnd"/>
      <w:r w:rsidRPr="006B00BA">
        <w:rPr>
          <w:rFonts w:ascii="Arial" w:hAnsi="Arial" w:cs="Arial"/>
          <w:sz w:val="20"/>
          <w:szCs w:val="20"/>
        </w:rPr>
        <w:t xml:space="preserve"> versteht man den </w:t>
      </w:r>
      <w:r w:rsidRPr="006B00BA">
        <w:rPr>
          <w:rFonts w:ascii="Arial" w:hAnsi="Arial" w:cs="Arial"/>
          <w:b/>
          <w:sz w:val="20"/>
          <w:szCs w:val="20"/>
        </w:rPr>
        <w:t>Abzug von Geldern aus Investitionen in die fossile Energiewirtschaft</w:t>
      </w:r>
      <w:r w:rsidRPr="006B00BA">
        <w:rPr>
          <w:rFonts w:ascii="Arial" w:hAnsi="Arial" w:cs="Arial"/>
          <w:sz w:val="20"/>
          <w:szCs w:val="20"/>
        </w:rPr>
        <w:t xml:space="preserve">, zum Beispiel Geldern der Rentenversicherungen (SÄV) bei gleichzeitigen Investitionen in nachhaltige Kapitalanlagen mit der Förderung von ökologischem, sozialem und kulturellem Mehrwert. </w:t>
      </w:r>
    </w:p>
    <w:p w14:paraId="779F5337" w14:textId="77777777" w:rsidR="00247B8F" w:rsidRPr="006B00BA" w:rsidRDefault="00247B8F" w:rsidP="00247B8F">
      <w:pPr>
        <w:spacing w:after="0" w:line="240" w:lineRule="auto"/>
        <w:rPr>
          <w:rFonts w:ascii="Arial" w:hAnsi="Arial" w:cs="Arial"/>
          <w:b/>
          <w:color w:val="333333"/>
          <w:sz w:val="20"/>
          <w:szCs w:val="20"/>
          <w:shd w:val="clear" w:color="auto" w:fill="FFFFFF"/>
          <w:lang w:eastAsia="de-DE"/>
        </w:rPr>
      </w:pPr>
      <w:r w:rsidRPr="006B00BA">
        <w:rPr>
          <w:rFonts w:ascii="Arial" w:hAnsi="Arial" w:cs="Arial"/>
          <w:sz w:val="20"/>
          <w:szCs w:val="20"/>
        </w:rPr>
        <w:t xml:space="preserve">(ESG-Kriterien= </w:t>
      </w:r>
      <w:r w:rsidRPr="006B00BA">
        <w:rPr>
          <w:rFonts w:ascii="Arial" w:hAnsi="Arial" w:cs="Arial"/>
          <w:b/>
          <w:sz w:val="20"/>
          <w:szCs w:val="20"/>
        </w:rPr>
        <w:t>E</w:t>
      </w:r>
      <w:r w:rsidRPr="006B00BA">
        <w:rPr>
          <w:rFonts w:ascii="Arial" w:hAnsi="Arial" w:cs="Arial"/>
          <w:sz w:val="20"/>
          <w:szCs w:val="20"/>
        </w:rPr>
        <w:t xml:space="preserve">nvironment, </w:t>
      </w:r>
      <w:r w:rsidRPr="006B00BA">
        <w:rPr>
          <w:rFonts w:ascii="Arial" w:hAnsi="Arial" w:cs="Arial"/>
          <w:b/>
          <w:sz w:val="20"/>
          <w:szCs w:val="20"/>
        </w:rPr>
        <w:t>S</w:t>
      </w:r>
      <w:r w:rsidRPr="006B00BA">
        <w:rPr>
          <w:rFonts w:ascii="Arial" w:hAnsi="Arial" w:cs="Arial"/>
          <w:sz w:val="20"/>
          <w:szCs w:val="20"/>
        </w:rPr>
        <w:t xml:space="preserve">ocial, </w:t>
      </w:r>
      <w:proofErr w:type="spellStart"/>
      <w:r w:rsidRPr="006B00BA">
        <w:rPr>
          <w:rFonts w:ascii="Arial" w:hAnsi="Arial" w:cs="Arial"/>
          <w:b/>
          <w:sz w:val="20"/>
          <w:szCs w:val="20"/>
        </w:rPr>
        <w:t>G</w:t>
      </w:r>
      <w:r w:rsidRPr="006B00BA">
        <w:rPr>
          <w:rFonts w:ascii="Arial" w:hAnsi="Arial" w:cs="Arial"/>
          <w:sz w:val="20"/>
          <w:szCs w:val="20"/>
        </w:rPr>
        <w:t>overnance</w:t>
      </w:r>
      <w:proofErr w:type="spellEnd"/>
      <w:r w:rsidRPr="006B00BA">
        <w:rPr>
          <w:rFonts w:ascii="Arial" w:hAnsi="Arial" w:cs="Arial"/>
          <w:sz w:val="20"/>
          <w:szCs w:val="20"/>
        </w:rPr>
        <w:t xml:space="preserve"> = Umwelt, Soziales, Unternehmensführung)</w:t>
      </w:r>
    </w:p>
    <w:p w14:paraId="36485E5D" w14:textId="77777777" w:rsidR="00247B8F" w:rsidRPr="006B00BA" w:rsidRDefault="00247B8F" w:rsidP="00247B8F">
      <w:pPr>
        <w:spacing w:after="0" w:line="240" w:lineRule="auto"/>
        <w:rPr>
          <w:rFonts w:ascii="Arial" w:hAnsi="Arial" w:cs="Arial"/>
          <w:color w:val="333333"/>
          <w:sz w:val="20"/>
          <w:szCs w:val="20"/>
          <w:shd w:val="clear" w:color="auto" w:fill="FFFFFF"/>
          <w:lang w:eastAsia="de-DE"/>
        </w:rPr>
      </w:pPr>
      <w:r w:rsidRPr="006B00BA">
        <w:rPr>
          <w:rFonts w:ascii="Arial" w:hAnsi="Arial" w:cs="Arial"/>
          <w:color w:val="333333"/>
          <w:sz w:val="20"/>
          <w:szCs w:val="20"/>
          <w:shd w:val="clear" w:color="auto" w:fill="FFFFFF"/>
          <w:lang w:eastAsia="de-DE"/>
        </w:rPr>
        <w:t xml:space="preserve">Triodos Bank, GLS Bank und </w:t>
      </w:r>
      <w:proofErr w:type="spellStart"/>
      <w:r w:rsidRPr="006B00BA">
        <w:rPr>
          <w:rFonts w:ascii="Arial" w:hAnsi="Arial" w:cs="Arial"/>
          <w:color w:val="333333"/>
          <w:sz w:val="20"/>
          <w:szCs w:val="20"/>
          <w:shd w:val="clear" w:color="auto" w:fill="FFFFFF"/>
          <w:lang w:eastAsia="de-DE"/>
        </w:rPr>
        <w:t>EthikBank</w:t>
      </w:r>
      <w:proofErr w:type="spellEnd"/>
      <w:r w:rsidRPr="006B00BA">
        <w:rPr>
          <w:rFonts w:ascii="Arial" w:hAnsi="Arial" w:cs="Arial"/>
          <w:color w:val="333333"/>
          <w:sz w:val="20"/>
          <w:szCs w:val="20"/>
          <w:shd w:val="clear" w:color="auto" w:fill="FFFFFF"/>
          <w:lang w:eastAsia="de-DE"/>
        </w:rPr>
        <w:t xml:space="preserve"> bieten z.B. Geschäftskonten, um den regelmäßigen Zahlungsverkehr der Praxen abzuwickeln. </w:t>
      </w:r>
    </w:p>
    <w:p w14:paraId="1158F985" w14:textId="77777777" w:rsidR="00247B8F" w:rsidRPr="006B00BA" w:rsidRDefault="00247B8F" w:rsidP="00247B8F">
      <w:pPr>
        <w:spacing w:after="0" w:line="240" w:lineRule="auto"/>
        <w:rPr>
          <w:rFonts w:ascii="Arial" w:hAnsi="Arial" w:cs="Arial"/>
          <w:color w:val="333333"/>
          <w:sz w:val="20"/>
          <w:szCs w:val="20"/>
          <w:shd w:val="clear" w:color="auto" w:fill="FFFFFF"/>
          <w:lang w:eastAsia="de-DE"/>
        </w:rPr>
      </w:pPr>
      <w:r w:rsidRPr="006B00BA">
        <w:rPr>
          <w:rFonts w:ascii="Arial" w:hAnsi="Arial" w:cs="Arial"/>
          <w:color w:val="333333"/>
          <w:sz w:val="20"/>
          <w:szCs w:val="20"/>
          <w:shd w:val="clear" w:color="auto" w:fill="FFFFFF"/>
          <w:lang w:eastAsia="de-DE"/>
        </w:rPr>
        <w:t>Die Kapitalanlagen ärztlicher Versorgungswerke sind selbstverwaltet und werden von den Delegierten der Landesärztekammern verantwortet.</w:t>
      </w:r>
    </w:p>
    <w:p w14:paraId="1D690DBA" w14:textId="77777777" w:rsidR="00247B8F" w:rsidRPr="006B00BA" w:rsidRDefault="00247B8F" w:rsidP="00247B8F">
      <w:pPr>
        <w:spacing w:after="0" w:line="240" w:lineRule="auto"/>
        <w:rPr>
          <w:rFonts w:ascii="Arial" w:hAnsi="Arial" w:cs="Arial"/>
          <w:color w:val="333333"/>
          <w:sz w:val="20"/>
          <w:szCs w:val="20"/>
          <w:shd w:val="clear" w:color="auto" w:fill="FFFFFF"/>
          <w:lang w:eastAsia="de-DE"/>
        </w:rPr>
      </w:pPr>
      <w:r w:rsidRPr="006B00BA">
        <w:rPr>
          <w:rFonts w:ascii="Arial" w:hAnsi="Arial" w:cs="Arial"/>
          <w:color w:val="333333"/>
          <w:sz w:val="20"/>
          <w:szCs w:val="20"/>
          <w:shd w:val="clear" w:color="auto" w:fill="FFFFFF"/>
          <w:lang w:eastAsia="de-DE"/>
        </w:rPr>
        <w:t xml:space="preserve">Literatur: </w:t>
      </w:r>
      <w:hyperlink r:id="rId9" w:history="1">
        <w:r w:rsidRPr="006B00BA">
          <w:rPr>
            <w:rStyle w:val="Hyperlink"/>
            <w:rFonts w:ascii="Arial" w:hAnsi="Arial" w:cs="Arial"/>
            <w:sz w:val="20"/>
            <w:szCs w:val="20"/>
            <w:shd w:val="clear" w:color="auto" w:fill="FFFFFF"/>
            <w:lang w:eastAsia="de-DE"/>
          </w:rPr>
          <w:t>https://www.klimawandel-gesundheit.de/divestment-3</w:t>
        </w:r>
      </w:hyperlink>
      <w:r w:rsidRPr="006B00BA">
        <w:rPr>
          <w:rFonts w:ascii="Arial" w:hAnsi="Arial" w:cs="Arial"/>
          <w:color w:val="333333"/>
          <w:sz w:val="20"/>
          <w:szCs w:val="20"/>
          <w:shd w:val="clear" w:color="auto" w:fill="FFFFFF"/>
          <w:lang w:eastAsia="de-DE"/>
        </w:rPr>
        <w:t xml:space="preserve"> , </w:t>
      </w:r>
      <w:hyperlink r:id="rId10" w:history="1">
        <w:r w:rsidRPr="006B00BA">
          <w:rPr>
            <w:rStyle w:val="Hyperlink"/>
            <w:rFonts w:ascii="Arial" w:hAnsi="Arial" w:cs="Arial"/>
            <w:sz w:val="20"/>
            <w:szCs w:val="20"/>
            <w:shd w:val="clear" w:color="auto" w:fill="FFFFFF"/>
            <w:lang w:eastAsia="de-DE"/>
          </w:rPr>
          <w:t>https://healthforfuture.de/wp-content/uploads/2021/10/20211028_H4F_Starter-Kit_Divestment.pdf</w:t>
        </w:r>
      </w:hyperlink>
    </w:p>
    <w:p w14:paraId="62406B11" w14:textId="77777777" w:rsidR="00247B8F" w:rsidRPr="004D2017" w:rsidRDefault="00247B8F" w:rsidP="00247B8F">
      <w:pPr>
        <w:spacing w:after="0"/>
        <w:rPr>
          <w:rFonts w:ascii="Arial" w:hAnsi="Arial" w:cs="Arial"/>
          <w:sz w:val="20"/>
          <w:szCs w:val="20"/>
          <w:lang w:eastAsia="de-DE"/>
        </w:rPr>
      </w:pPr>
    </w:p>
    <w:p w14:paraId="5C58447D" w14:textId="77777777" w:rsidR="00247B8F" w:rsidRDefault="00247B8F" w:rsidP="00247B8F">
      <w:pPr>
        <w:suppressAutoHyphens/>
        <w:spacing w:after="0" w:line="240" w:lineRule="auto"/>
        <w:jc w:val="both"/>
        <w:rPr>
          <w:rFonts w:ascii="Arial" w:hAnsi="Arial" w:cs="Arial"/>
          <w:b/>
          <w:color w:val="333333"/>
          <w:sz w:val="20"/>
          <w:szCs w:val="20"/>
          <w:shd w:val="clear" w:color="auto" w:fill="FFFFFF"/>
          <w:lang w:eastAsia="de-DE"/>
        </w:rPr>
      </w:pPr>
      <w:r w:rsidRPr="000F7099">
        <w:rPr>
          <w:rFonts w:ascii="Arial" w:hAnsi="Arial" w:cs="Arial"/>
          <w:b/>
          <w:color w:val="333333"/>
          <w:sz w:val="20"/>
          <w:szCs w:val="20"/>
          <w:shd w:val="clear" w:color="auto" w:fill="FFFFFF"/>
          <w:lang w:eastAsia="de-DE"/>
        </w:rPr>
        <w:t>Die Tabelle bietet Anregungen und Beispiele ohne Anspruch auf Vollständigkeit.</w:t>
      </w:r>
    </w:p>
    <w:p w14:paraId="41485D08" w14:textId="77777777" w:rsidR="00247B8F" w:rsidRDefault="00247B8F" w:rsidP="00247B8F">
      <w:pPr>
        <w:suppressAutoHyphens/>
        <w:spacing w:after="0" w:line="240" w:lineRule="auto"/>
        <w:jc w:val="both"/>
        <w:rPr>
          <w:rFonts w:ascii="Arial" w:hAnsi="Arial" w:cs="Arial"/>
          <w:b/>
          <w:color w:val="333333"/>
          <w:sz w:val="20"/>
          <w:szCs w:val="20"/>
          <w:shd w:val="clear" w:color="auto" w:fill="FFFFFF"/>
          <w:lang w:eastAsia="de-DE"/>
        </w:rPr>
      </w:pPr>
      <w:r w:rsidRPr="000F7099">
        <w:rPr>
          <w:rFonts w:ascii="Arial" w:hAnsi="Arial" w:cs="Arial"/>
          <w:b/>
          <w:color w:val="333333"/>
          <w:sz w:val="20"/>
          <w:szCs w:val="20"/>
          <w:shd w:val="clear" w:color="auto" w:fill="FFFFFF"/>
          <w:lang w:eastAsia="de-DE"/>
        </w:rPr>
        <w:t>Nur zu Informationszwecken, keine Anlageberatung oder -empfehlung!</w:t>
      </w:r>
    </w:p>
    <w:p w14:paraId="1025CBC8" w14:textId="77777777" w:rsidR="00247B8F" w:rsidRPr="000F7099" w:rsidRDefault="00247B8F" w:rsidP="00247B8F">
      <w:pPr>
        <w:suppressAutoHyphens/>
        <w:spacing w:after="0" w:line="240" w:lineRule="auto"/>
        <w:jc w:val="both"/>
        <w:rPr>
          <w:rFonts w:ascii="Arial" w:eastAsia="Times New Roman" w:hAnsi="Arial" w:cs="Arial"/>
          <w:kern w:val="1"/>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784"/>
        <w:gridCol w:w="3763"/>
      </w:tblGrid>
      <w:tr w:rsidR="00247B8F" w:rsidRPr="004D2017" w14:paraId="1607C48F" w14:textId="77777777" w:rsidTr="00247B8F">
        <w:tc>
          <w:tcPr>
            <w:tcW w:w="2729" w:type="dxa"/>
            <w:shd w:val="clear" w:color="auto" w:fill="auto"/>
          </w:tcPr>
          <w:p w14:paraId="15078343" w14:textId="77777777" w:rsidR="00247B8F" w:rsidRPr="004D2017" w:rsidRDefault="00247B8F" w:rsidP="001E1AA9">
            <w:pPr>
              <w:spacing w:after="0"/>
              <w:rPr>
                <w:rFonts w:ascii="Arial" w:hAnsi="Arial" w:cs="Arial"/>
                <w:b/>
                <w:sz w:val="20"/>
                <w:szCs w:val="20"/>
              </w:rPr>
            </w:pPr>
            <w:r w:rsidRPr="004D2017">
              <w:rPr>
                <w:rFonts w:ascii="Arial" w:hAnsi="Arial" w:cs="Arial"/>
                <w:b/>
                <w:sz w:val="20"/>
                <w:szCs w:val="20"/>
              </w:rPr>
              <w:t>Name der Bank</w:t>
            </w:r>
          </w:p>
        </w:tc>
        <w:tc>
          <w:tcPr>
            <w:tcW w:w="7784" w:type="dxa"/>
            <w:shd w:val="clear" w:color="auto" w:fill="auto"/>
          </w:tcPr>
          <w:p w14:paraId="5C435F61" w14:textId="77777777" w:rsidR="00247B8F" w:rsidRPr="004D2017" w:rsidRDefault="00247B8F" w:rsidP="001E1AA9">
            <w:pPr>
              <w:spacing w:after="0"/>
              <w:rPr>
                <w:rFonts w:ascii="Arial" w:hAnsi="Arial" w:cs="Arial"/>
                <w:b/>
                <w:sz w:val="20"/>
                <w:szCs w:val="20"/>
              </w:rPr>
            </w:pPr>
            <w:r w:rsidRPr="004D2017">
              <w:rPr>
                <w:rFonts w:ascii="Arial" w:hAnsi="Arial" w:cs="Arial"/>
                <w:b/>
                <w:sz w:val="20"/>
                <w:szCs w:val="20"/>
              </w:rPr>
              <w:t>Portfolio/Kriterien</w:t>
            </w:r>
          </w:p>
        </w:tc>
        <w:tc>
          <w:tcPr>
            <w:tcW w:w="3763" w:type="dxa"/>
            <w:shd w:val="clear" w:color="auto" w:fill="auto"/>
          </w:tcPr>
          <w:p w14:paraId="1FAEF55D" w14:textId="77777777" w:rsidR="00247B8F" w:rsidRPr="004D2017" w:rsidRDefault="00247B8F" w:rsidP="001E1AA9">
            <w:pPr>
              <w:spacing w:after="0"/>
              <w:rPr>
                <w:rFonts w:ascii="Arial" w:hAnsi="Arial" w:cs="Arial"/>
                <w:b/>
                <w:sz w:val="20"/>
                <w:szCs w:val="20"/>
              </w:rPr>
            </w:pPr>
            <w:r w:rsidRPr="004D2017">
              <w:rPr>
                <w:rFonts w:ascii="Arial" w:hAnsi="Arial" w:cs="Arial"/>
                <w:b/>
                <w:sz w:val="20"/>
                <w:szCs w:val="20"/>
              </w:rPr>
              <w:t>Konditionen (Beispiele)</w:t>
            </w:r>
          </w:p>
        </w:tc>
      </w:tr>
      <w:tr w:rsidR="00247B8F" w:rsidRPr="004D2017" w14:paraId="27EF88AC" w14:textId="77777777" w:rsidTr="00247B8F">
        <w:tc>
          <w:tcPr>
            <w:tcW w:w="2729" w:type="dxa"/>
            <w:shd w:val="clear" w:color="auto" w:fill="auto"/>
          </w:tcPr>
          <w:p w14:paraId="430C5846" w14:textId="77777777" w:rsidR="00247B8F" w:rsidRPr="00AF4967" w:rsidRDefault="00247B8F" w:rsidP="001E1AA9">
            <w:pPr>
              <w:spacing w:after="0"/>
              <w:rPr>
                <w:rFonts w:ascii="Arial" w:hAnsi="Arial" w:cs="Arial"/>
                <w:sz w:val="20"/>
                <w:szCs w:val="20"/>
                <w:lang w:val="fr-FR"/>
              </w:rPr>
            </w:pPr>
            <w:proofErr w:type="spellStart"/>
            <w:r w:rsidRPr="00AF4967">
              <w:rPr>
                <w:rFonts w:ascii="Arial" w:hAnsi="Arial" w:cs="Arial"/>
                <w:sz w:val="20"/>
                <w:szCs w:val="20"/>
                <w:lang w:val="fr-FR"/>
              </w:rPr>
              <w:t>Triodos</w:t>
            </w:r>
            <w:proofErr w:type="spellEnd"/>
            <w:r w:rsidRPr="00AF4967">
              <w:rPr>
                <w:rFonts w:ascii="Arial" w:hAnsi="Arial" w:cs="Arial"/>
                <w:sz w:val="20"/>
                <w:szCs w:val="20"/>
                <w:lang w:val="fr-FR"/>
              </w:rPr>
              <w:t xml:space="preserve"> Bank</w:t>
            </w:r>
          </w:p>
          <w:p w14:paraId="4BA3435B" w14:textId="77777777" w:rsidR="00247B8F" w:rsidRPr="00AF4967" w:rsidRDefault="00247B8F" w:rsidP="001E1AA9">
            <w:pPr>
              <w:spacing w:after="0"/>
              <w:rPr>
                <w:rFonts w:ascii="Arial" w:hAnsi="Arial" w:cs="Arial"/>
                <w:sz w:val="20"/>
                <w:szCs w:val="20"/>
                <w:lang w:val="fr-FR"/>
              </w:rPr>
            </w:pPr>
          </w:p>
          <w:p w14:paraId="515BD04D" w14:textId="77777777" w:rsidR="00247B8F" w:rsidRPr="00AF4967" w:rsidRDefault="00247B8F" w:rsidP="001E1AA9">
            <w:pPr>
              <w:spacing w:after="0"/>
              <w:rPr>
                <w:rFonts w:ascii="Arial" w:hAnsi="Arial" w:cs="Arial"/>
                <w:sz w:val="20"/>
                <w:szCs w:val="20"/>
                <w:lang w:val="fr-FR"/>
              </w:rPr>
            </w:pPr>
            <w:hyperlink r:id="rId11" w:history="1">
              <w:r w:rsidRPr="00AF4967">
                <w:rPr>
                  <w:rStyle w:val="Hyperlink"/>
                  <w:rFonts w:ascii="Arial" w:hAnsi="Arial" w:cs="Arial"/>
                  <w:sz w:val="20"/>
                  <w:szCs w:val="20"/>
                  <w:lang w:val="fr-FR"/>
                </w:rPr>
                <w:t>https://www.triodos.de</w:t>
              </w:r>
            </w:hyperlink>
          </w:p>
          <w:p w14:paraId="4A52F66F" w14:textId="77777777" w:rsidR="00247B8F" w:rsidRPr="00AF4967" w:rsidRDefault="00247B8F" w:rsidP="001E1AA9">
            <w:pPr>
              <w:spacing w:after="0"/>
              <w:rPr>
                <w:rFonts w:ascii="Arial" w:hAnsi="Arial" w:cs="Arial"/>
                <w:sz w:val="20"/>
                <w:szCs w:val="20"/>
                <w:lang w:val="fr-FR"/>
              </w:rPr>
            </w:pPr>
          </w:p>
          <w:p w14:paraId="6BC4DFB5" w14:textId="77777777" w:rsidR="00247B8F" w:rsidRPr="00AF4967" w:rsidRDefault="00247B8F" w:rsidP="001E1AA9">
            <w:pPr>
              <w:spacing w:after="0"/>
              <w:rPr>
                <w:rFonts w:ascii="Arial" w:hAnsi="Arial" w:cs="Arial"/>
                <w:sz w:val="20"/>
                <w:szCs w:val="20"/>
                <w:lang w:val="fr-FR"/>
              </w:rPr>
            </w:pPr>
          </w:p>
        </w:tc>
        <w:tc>
          <w:tcPr>
            <w:tcW w:w="7784" w:type="dxa"/>
            <w:shd w:val="clear" w:color="auto" w:fill="auto"/>
          </w:tcPr>
          <w:p w14:paraId="7AC7055B" w14:textId="77777777" w:rsidR="00247B8F" w:rsidRPr="00E361A6" w:rsidRDefault="00247B8F" w:rsidP="001E1AA9">
            <w:pPr>
              <w:numPr>
                <w:ilvl w:val="0"/>
                <w:numId w:val="1"/>
              </w:numPr>
              <w:suppressAutoHyphens/>
              <w:spacing w:after="0" w:line="240" w:lineRule="auto"/>
              <w:ind w:left="360"/>
              <w:rPr>
                <w:rFonts w:ascii="Arial" w:hAnsi="Arial" w:cs="Arial"/>
                <w:sz w:val="20"/>
                <w:szCs w:val="20"/>
              </w:rPr>
            </w:pPr>
            <w:r w:rsidRPr="00E361A6">
              <w:rPr>
                <w:rFonts w:ascii="Arial" w:hAnsi="Arial" w:cs="Arial"/>
                <w:sz w:val="20"/>
                <w:szCs w:val="20"/>
              </w:rPr>
              <w:t>zu 100 % auf Impact ausgelegte Vermögensverwaltung für Menschen mit deutscher Meldeadresse</w:t>
            </w:r>
          </w:p>
          <w:p w14:paraId="402575C3" w14:textId="77777777" w:rsidR="00247B8F" w:rsidRPr="00E361A6" w:rsidRDefault="00247B8F" w:rsidP="001E1AA9">
            <w:pPr>
              <w:numPr>
                <w:ilvl w:val="0"/>
                <w:numId w:val="1"/>
              </w:numPr>
              <w:suppressAutoHyphens/>
              <w:spacing w:after="0" w:line="240" w:lineRule="auto"/>
              <w:ind w:left="360"/>
              <w:rPr>
                <w:rFonts w:ascii="Arial" w:hAnsi="Arial" w:cs="Arial"/>
                <w:sz w:val="20"/>
                <w:szCs w:val="20"/>
              </w:rPr>
            </w:pPr>
            <w:r w:rsidRPr="00E361A6">
              <w:rPr>
                <w:rFonts w:ascii="Arial" w:hAnsi="Arial" w:cs="Arial"/>
                <w:sz w:val="20"/>
                <w:szCs w:val="20"/>
              </w:rPr>
              <w:t xml:space="preserve">Jedes Impact Portfolio bedingt aus regulatorischen Gründen ein eigenes Tagesgeld-Konto ohne zusätzliche Kosten </w:t>
            </w:r>
          </w:p>
          <w:p w14:paraId="78237D7F" w14:textId="77777777" w:rsidR="00247B8F" w:rsidRPr="00E361A6" w:rsidRDefault="00247B8F" w:rsidP="001E1AA9">
            <w:pPr>
              <w:numPr>
                <w:ilvl w:val="0"/>
                <w:numId w:val="1"/>
              </w:numPr>
              <w:suppressAutoHyphens/>
              <w:spacing w:after="0" w:line="240" w:lineRule="auto"/>
              <w:ind w:left="360"/>
              <w:rPr>
                <w:rFonts w:ascii="Arial" w:hAnsi="Arial" w:cs="Arial"/>
                <w:sz w:val="20"/>
                <w:szCs w:val="20"/>
              </w:rPr>
            </w:pPr>
            <w:r w:rsidRPr="00E361A6">
              <w:rPr>
                <w:rFonts w:ascii="Arial" w:hAnsi="Arial" w:cs="Arial"/>
                <w:sz w:val="20"/>
                <w:szCs w:val="20"/>
              </w:rPr>
              <w:t>Sichtbarmachung des persönlichen Impacts mittels Impact Portfolio Manager und im Detail aufgezeigter Wirkung des Investments im Vergleich zum jeweiligen Index, an dem sich die Fonds im Portfolio messen. Visualisierung über App-Dashboard</w:t>
            </w:r>
          </w:p>
          <w:p w14:paraId="0492722B" w14:textId="77777777" w:rsidR="00247B8F" w:rsidRPr="00E361A6" w:rsidRDefault="00247B8F" w:rsidP="001E1AA9">
            <w:pPr>
              <w:numPr>
                <w:ilvl w:val="0"/>
                <w:numId w:val="1"/>
              </w:numPr>
              <w:suppressAutoHyphens/>
              <w:spacing w:after="0" w:line="240" w:lineRule="auto"/>
              <w:ind w:left="360"/>
              <w:rPr>
                <w:rFonts w:ascii="Arial" w:hAnsi="Arial" w:cs="Arial"/>
                <w:sz w:val="20"/>
                <w:szCs w:val="20"/>
              </w:rPr>
            </w:pPr>
            <w:r w:rsidRPr="00E361A6">
              <w:rPr>
                <w:rFonts w:ascii="Arial" w:hAnsi="Arial" w:cs="Arial"/>
                <w:sz w:val="20"/>
                <w:szCs w:val="20"/>
              </w:rPr>
              <w:t xml:space="preserve">Alle Aktien- und Anleihefonds des Impact Portfolio sind Nachhaltigkeitsfonds mit detaillierten und transparenten Impact </w:t>
            </w:r>
            <w:proofErr w:type="spellStart"/>
            <w:r w:rsidRPr="00E361A6">
              <w:rPr>
                <w:rFonts w:ascii="Arial" w:hAnsi="Arial" w:cs="Arial"/>
                <w:sz w:val="20"/>
                <w:szCs w:val="20"/>
              </w:rPr>
              <w:t>Reportings</w:t>
            </w:r>
            <w:proofErr w:type="spellEnd"/>
            <w:r w:rsidRPr="00E361A6">
              <w:rPr>
                <w:rFonts w:ascii="Arial" w:hAnsi="Arial" w:cs="Arial"/>
                <w:sz w:val="20"/>
                <w:szCs w:val="20"/>
              </w:rPr>
              <w:t xml:space="preserve"> </w:t>
            </w:r>
          </w:p>
          <w:p w14:paraId="01328702" w14:textId="77777777" w:rsidR="00247B8F" w:rsidRPr="00E361A6" w:rsidRDefault="00247B8F" w:rsidP="001E1AA9">
            <w:pPr>
              <w:numPr>
                <w:ilvl w:val="0"/>
                <w:numId w:val="1"/>
              </w:numPr>
              <w:suppressAutoHyphens/>
              <w:spacing w:after="0" w:line="240" w:lineRule="auto"/>
              <w:ind w:left="360"/>
              <w:rPr>
                <w:rFonts w:ascii="Arial" w:hAnsi="Arial" w:cs="Arial"/>
                <w:sz w:val="20"/>
                <w:szCs w:val="20"/>
              </w:rPr>
            </w:pPr>
            <w:r w:rsidRPr="00E361A6">
              <w:rPr>
                <w:rFonts w:ascii="Arial" w:hAnsi="Arial" w:cs="Arial"/>
                <w:sz w:val="20"/>
                <w:szCs w:val="20"/>
              </w:rPr>
              <w:t>ausgewiesen nach Artikel 9 der EU-Offenlegungsverordnung SFDR (Sustainable Finance Disclosure Regulation). Mögliche Investition in Mikrofinanz Fonds mit direkter sozialer Wirkung</w:t>
            </w:r>
          </w:p>
          <w:p w14:paraId="0A7211BA" w14:textId="77777777" w:rsidR="00247B8F" w:rsidRPr="004D2017" w:rsidRDefault="00247B8F" w:rsidP="001E1AA9">
            <w:pPr>
              <w:numPr>
                <w:ilvl w:val="0"/>
                <w:numId w:val="1"/>
              </w:numPr>
              <w:suppressAutoHyphens/>
              <w:spacing w:after="0" w:line="240" w:lineRule="auto"/>
              <w:ind w:left="360"/>
              <w:rPr>
                <w:rFonts w:ascii="Arial" w:hAnsi="Arial" w:cs="Arial"/>
                <w:sz w:val="20"/>
                <w:szCs w:val="20"/>
              </w:rPr>
            </w:pPr>
            <w:hyperlink r:id="rId12" w:history="1">
              <w:r w:rsidRPr="00CD09F6">
                <w:rPr>
                  <w:rStyle w:val="Hyperlink"/>
                  <w:rFonts w:ascii="Arial" w:hAnsi="Arial" w:cs="Arial"/>
                  <w:sz w:val="20"/>
                  <w:szCs w:val="20"/>
                </w:rPr>
                <w:t>https://www.triodos.de/investieren/impact-portfolio</w:t>
              </w:r>
            </w:hyperlink>
          </w:p>
        </w:tc>
        <w:tc>
          <w:tcPr>
            <w:tcW w:w="3763" w:type="dxa"/>
            <w:shd w:val="clear" w:color="auto" w:fill="auto"/>
          </w:tcPr>
          <w:p w14:paraId="551EB050" w14:textId="77777777" w:rsidR="00247B8F" w:rsidRPr="00CE26A6" w:rsidRDefault="00247B8F" w:rsidP="001E1AA9">
            <w:pPr>
              <w:numPr>
                <w:ilvl w:val="0"/>
                <w:numId w:val="1"/>
              </w:numPr>
              <w:suppressAutoHyphens/>
              <w:spacing w:after="0" w:line="240" w:lineRule="auto"/>
              <w:ind w:left="360"/>
              <w:rPr>
                <w:rFonts w:ascii="Arial" w:hAnsi="Arial" w:cs="Arial"/>
                <w:sz w:val="20"/>
                <w:szCs w:val="20"/>
              </w:rPr>
            </w:pPr>
            <w:r w:rsidRPr="00CE26A6">
              <w:rPr>
                <w:rFonts w:ascii="Arial" w:hAnsi="Arial" w:cs="Arial"/>
                <w:sz w:val="20"/>
                <w:szCs w:val="20"/>
              </w:rPr>
              <w:t>Mindestanlagebetrag:</w:t>
            </w:r>
            <w:r>
              <w:rPr>
                <w:rFonts w:ascii="Arial" w:hAnsi="Arial" w:cs="Arial"/>
                <w:sz w:val="20"/>
                <w:szCs w:val="20"/>
              </w:rPr>
              <w:t xml:space="preserve"> </w:t>
            </w:r>
            <w:r w:rsidRPr="00CE26A6">
              <w:rPr>
                <w:rFonts w:ascii="Arial" w:hAnsi="Arial" w:cs="Arial"/>
                <w:sz w:val="20"/>
                <w:szCs w:val="20"/>
              </w:rPr>
              <w:t>10.000,- €</w:t>
            </w:r>
          </w:p>
          <w:p w14:paraId="155EC4B2" w14:textId="77777777" w:rsidR="00247B8F" w:rsidRPr="00CE26A6" w:rsidRDefault="00247B8F" w:rsidP="001E1AA9">
            <w:pPr>
              <w:numPr>
                <w:ilvl w:val="0"/>
                <w:numId w:val="1"/>
              </w:numPr>
              <w:suppressAutoHyphens/>
              <w:spacing w:after="0" w:line="240" w:lineRule="auto"/>
              <w:ind w:left="360"/>
              <w:rPr>
                <w:rFonts w:ascii="Arial" w:hAnsi="Arial" w:cs="Arial"/>
                <w:sz w:val="20"/>
                <w:szCs w:val="20"/>
              </w:rPr>
            </w:pPr>
            <w:r w:rsidRPr="00CE26A6">
              <w:rPr>
                <w:rFonts w:ascii="Arial" w:hAnsi="Arial" w:cs="Arial"/>
                <w:sz w:val="20"/>
                <w:szCs w:val="20"/>
              </w:rPr>
              <w:t>Monatlicher Sparplan</w:t>
            </w:r>
            <w:r>
              <w:rPr>
                <w:rFonts w:ascii="Arial" w:hAnsi="Arial" w:cs="Arial"/>
                <w:sz w:val="20"/>
                <w:szCs w:val="20"/>
              </w:rPr>
              <w:t xml:space="preserve">: </w:t>
            </w:r>
            <w:r w:rsidRPr="00CE26A6">
              <w:rPr>
                <w:rFonts w:ascii="Arial" w:hAnsi="Arial" w:cs="Arial"/>
                <w:sz w:val="20"/>
                <w:szCs w:val="20"/>
              </w:rPr>
              <w:t xml:space="preserve">ab 50,- € </w:t>
            </w:r>
          </w:p>
          <w:p w14:paraId="6FAC915D" w14:textId="77777777" w:rsidR="00247B8F" w:rsidRPr="00CE26A6" w:rsidRDefault="00247B8F" w:rsidP="001E1AA9">
            <w:pPr>
              <w:numPr>
                <w:ilvl w:val="0"/>
                <w:numId w:val="1"/>
              </w:numPr>
              <w:suppressAutoHyphens/>
              <w:spacing w:after="0" w:line="240" w:lineRule="auto"/>
              <w:ind w:left="360"/>
              <w:rPr>
                <w:rFonts w:ascii="Arial" w:hAnsi="Arial" w:cs="Arial"/>
                <w:sz w:val="20"/>
                <w:szCs w:val="20"/>
              </w:rPr>
            </w:pPr>
            <w:r w:rsidRPr="00CE26A6">
              <w:rPr>
                <w:rFonts w:ascii="Arial" w:hAnsi="Arial" w:cs="Arial"/>
                <w:sz w:val="20"/>
                <w:szCs w:val="20"/>
              </w:rPr>
              <w:t xml:space="preserve">Laufzeit: variabel </w:t>
            </w:r>
          </w:p>
          <w:p w14:paraId="4A519F89" w14:textId="77777777" w:rsidR="00247B8F" w:rsidRPr="00CE26A6" w:rsidRDefault="00247B8F" w:rsidP="001E1AA9">
            <w:pPr>
              <w:numPr>
                <w:ilvl w:val="0"/>
                <w:numId w:val="1"/>
              </w:numPr>
              <w:suppressAutoHyphens/>
              <w:spacing w:after="0" w:line="240" w:lineRule="auto"/>
              <w:ind w:left="360"/>
              <w:rPr>
                <w:rFonts w:ascii="Arial" w:hAnsi="Arial" w:cs="Arial"/>
                <w:sz w:val="20"/>
                <w:szCs w:val="20"/>
              </w:rPr>
            </w:pPr>
            <w:r w:rsidRPr="00CE26A6">
              <w:rPr>
                <w:rFonts w:ascii="Arial" w:hAnsi="Arial" w:cs="Arial"/>
                <w:sz w:val="20"/>
                <w:szCs w:val="20"/>
              </w:rPr>
              <w:t>Jährliches Entgelt für die</w:t>
            </w:r>
            <w:r>
              <w:rPr>
                <w:rFonts w:ascii="Arial" w:hAnsi="Arial" w:cs="Arial"/>
                <w:sz w:val="20"/>
                <w:szCs w:val="20"/>
              </w:rPr>
              <w:t xml:space="preserve"> </w:t>
            </w:r>
            <w:r w:rsidRPr="00CE26A6">
              <w:rPr>
                <w:rFonts w:ascii="Arial" w:hAnsi="Arial" w:cs="Arial"/>
                <w:sz w:val="20"/>
                <w:szCs w:val="20"/>
              </w:rPr>
              <w:t>Vermögensverwaltung</w:t>
            </w:r>
            <w:r>
              <w:rPr>
                <w:rFonts w:ascii="Arial" w:hAnsi="Arial" w:cs="Arial"/>
                <w:sz w:val="20"/>
                <w:szCs w:val="20"/>
              </w:rPr>
              <w:t xml:space="preserve"> </w:t>
            </w:r>
            <w:r w:rsidRPr="00CE26A6">
              <w:rPr>
                <w:rFonts w:ascii="Arial" w:hAnsi="Arial" w:cs="Arial"/>
                <w:sz w:val="20"/>
                <w:szCs w:val="20"/>
              </w:rPr>
              <w:t>(Abrechnung mtl.): 1,2%</w:t>
            </w:r>
            <w:r>
              <w:rPr>
                <w:rFonts w:ascii="Arial" w:hAnsi="Arial" w:cs="Arial"/>
                <w:sz w:val="20"/>
                <w:szCs w:val="20"/>
              </w:rPr>
              <w:t xml:space="preserve">   </w:t>
            </w:r>
          </w:p>
          <w:p w14:paraId="38622343" w14:textId="77777777" w:rsidR="00247B8F" w:rsidRPr="00CE26A6" w:rsidRDefault="00247B8F" w:rsidP="001E1AA9">
            <w:pPr>
              <w:numPr>
                <w:ilvl w:val="0"/>
                <w:numId w:val="1"/>
              </w:numPr>
              <w:suppressAutoHyphens/>
              <w:spacing w:after="0" w:line="240" w:lineRule="auto"/>
              <w:ind w:left="360"/>
              <w:rPr>
                <w:rFonts w:ascii="Arial" w:hAnsi="Arial" w:cs="Arial"/>
                <w:sz w:val="20"/>
                <w:szCs w:val="20"/>
              </w:rPr>
            </w:pPr>
            <w:r w:rsidRPr="00CE26A6">
              <w:rPr>
                <w:rFonts w:ascii="Arial" w:hAnsi="Arial" w:cs="Arial"/>
                <w:sz w:val="20"/>
                <w:szCs w:val="20"/>
              </w:rPr>
              <w:t>Jährliche Kosten für das Fondsmanagement (Produktkosten),</w:t>
            </w:r>
            <w:r>
              <w:rPr>
                <w:rFonts w:ascii="Arial" w:hAnsi="Arial" w:cs="Arial"/>
                <w:sz w:val="20"/>
                <w:szCs w:val="20"/>
              </w:rPr>
              <w:t xml:space="preserve"> </w:t>
            </w:r>
            <w:r w:rsidRPr="00CE26A6">
              <w:rPr>
                <w:rFonts w:ascii="Arial" w:hAnsi="Arial" w:cs="Arial"/>
                <w:sz w:val="20"/>
                <w:szCs w:val="20"/>
              </w:rPr>
              <w:t>je nach Portfolio-Zusammenstellung: 0,53 - 0,83 %</w:t>
            </w:r>
          </w:p>
        </w:tc>
      </w:tr>
      <w:tr w:rsidR="00247B8F" w:rsidRPr="004D2017" w14:paraId="6E287706" w14:textId="77777777" w:rsidTr="00247B8F">
        <w:tc>
          <w:tcPr>
            <w:tcW w:w="2729" w:type="dxa"/>
            <w:shd w:val="clear" w:color="auto" w:fill="auto"/>
          </w:tcPr>
          <w:p w14:paraId="2B5B0554" w14:textId="77777777" w:rsidR="00247B8F" w:rsidRPr="004D2017" w:rsidRDefault="00247B8F" w:rsidP="001E1AA9">
            <w:pPr>
              <w:spacing w:after="0"/>
              <w:rPr>
                <w:rFonts w:ascii="Arial" w:hAnsi="Arial" w:cs="Arial"/>
                <w:sz w:val="20"/>
                <w:szCs w:val="20"/>
              </w:rPr>
            </w:pPr>
            <w:r w:rsidRPr="004D2017">
              <w:rPr>
                <w:rFonts w:ascii="Arial" w:hAnsi="Arial" w:cs="Arial"/>
                <w:sz w:val="20"/>
                <w:szCs w:val="20"/>
              </w:rPr>
              <w:t>GLS Bank</w:t>
            </w:r>
          </w:p>
          <w:p w14:paraId="5DE82EFF" w14:textId="77777777" w:rsidR="00247B8F" w:rsidRPr="004D2017" w:rsidRDefault="00247B8F" w:rsidP="001E1AA9">
            <w:pPr>
              <w:spacing w:after="0"/>
              <w:rPr>
                <w:rFonts w:ascii="Arial" w:hAnsi="Arial" w:cs="Arial"/>
                <w:sz w:val="20"/>
                <w:szCs w:val="20"/>
              </w:rPr>
            </w:pPr>
            <w:r w:rsidRPr="004D2017">
              <w:rPr>
                <w:rFonts w:ascii="Arial" w:hAnsi="Arial" w:cs="Arial"/>
                <w:sz w:val="20"/>
                <w:szCs w:val="20"/>
              </w:rPr>
              <w:t>(Gemeinschaftsbank für Leihen und Schenken)</w:t>
            </w:r>
          </w:p>
          <w:p w14:paraId="2F5FD16B" w14:textId="77777777" w:rsidR="00247B8F" w:rsidRPr="004D2017" w:rsidRDefault="00247B8F" w:rsidP="001E1AA9">
            <w:pPr>
              <w:spacing w:after="0"/>
              <w:rPr>
                <w:rFonts w:ascii="Arial" w:hAnsi="Arial" w:cs="Arial"/>
                <w:sz w:val="20"/>
                <w:szCs w:val="20"/>
              </w:rPr>
            </w:pPr>
          </w:p>
          <w:p w14:paraId="09F1B51D" w14:textId="77777777" w:rsidR="00247B8F" w:rsidRPr="004D2017" w:rsidRDefault="00247B8F" w:rsidP="001E1AA9">
            <w:pPr>
              <w:spacing w:after="0"/>
              <w:rPr>
                <w:rStyle w:val="Hyperlink"/>
                <w:rFonts w:ascii="Arial" w:hAnsi="Arial" w:cs="Arial"/>
                <w:sz w:val="20"/>
                <w:szCs w:val="20"/>
              </w:rPr>
            </w:pPr>
            <w:hyperlink r:id="rId13" w:history="1">
              <w:r w:rsidRPr="004D2017">
                <w:rPr>
                  <w:rStyle w:val="Hyperlink"/>
                  <w:rFonts w:ascii="Arial" w:hAnsi="Arial" w:cs="Arial"/>
                  <w:sz w:val="20"/>
                  <w:szCs w:val="20"/>
                </w:rPr>
                <w:t>https://www.gls.de</w:t>
              </w:r>
            </w:hyperlink>
          </w:p>
          <w:p w14:paraId="18BDD8B4" w14:textId="77777777" w:rsidR="00247B8F" w:rsidRPr="004D2017" w:rsidRDefault="00247B8F" w:rsidP="001E1AA9">
            <w:pPr>
              <w:spacing w:after="0"/>
              <w:rPr>
                <w:rFonts w:ascii="Arial" w:hAnsi="Arial" w:cs="Arial"/>
                <w:sz w:val="20"/>
                <w:szCs w:val="20"/>
              </w:rPr>
            </w:pPr>
          </w:p>
        </w:tc>
        <w:tc>
          <w:tcPr>
            <w:tcW w:w="7784" w:type="dxa"/>
            <w:shd w:val="clear" w:color="auto" w:fill="auto"/>
          </w:tcPr>
          <w:p w14:paraId="462F2996" w14:textId="77777777" w:rsidR="00247B8F" w:rsidRPr="00FF2BF5" w:rsidRDefault="00247B8F" w:rsidP="001E1AA9">
            <w:pPr>
              <w:pStyle w:val="StandardWeb"/>
              <w:numPr>
                <w:ilvl w:val="0"/>
                <w:numId w:val="1"/>
              </w:numPr>
              <w:spacing w:after="0" w:afterAutospacing="0"/>
              <w:ind w:left="360"/>
              <w:rPr>
                <w:rFonts w:ascii="Arial" w:hAnsi="Arial" w:cs="Arial"/>
                <w:sz w:val="20"/>
                <w:szCs w:val="20"/>
              </w:rPr>
            </w:pPr>
            <w:hyperlink r:id="rId14" w:tgtFrame="_top" w:history="1">
              <w:r w:rsidRPr="00FF2BF5">
                <w:rPr>
                  <w:rStyle w:val="Hyperlink"/>
                  <w:rFonts w:ascii="Arial" w:hAnsi="Arial" w:cs="Arial"/>
                  <w:sz w:val="20"/>
                  <w:szCs w:val="20"/>
                </w:rPr>
                <w:t>GLS Bank Aktienfonds</w:t>
              </w:r>
            </w:hyperlink>
            <w:r w:rsidRPr="00FF2BF5">
              <w:rPr>
                <w:rFonts w:ascii="Arial" w:hAnsi="Arial" w:cs="Arial"/>
                <w:sz w:val="20"/>
                <w:szCs w:val="20"/>
              </w:rPr>
              <w:t> investiert langfristig in nachhaltige Unternehmen bei Erfüllung aller Positivkriterien</w:t>
            </w:r>
          </w:p>
          <w:p w14:paraId="1A5B422D" w14:textId="77777777" w:rsidR="00247B8F" w:rsidRPr="00FF2BF5" w:rsidRDefault="00247B8F" w:rsidP="001E1AA9">
            <w:pPr>
              <w:pStyle w:val="StandardWeb"/>
              <w:numPr>
                <w:ilvl w:val="0"/>
                <w:numId w:val="1"/>
              </w:numPr>
              <w:spacing w:after="0" w:afterAutospacing="0"/>
              <w:ind w:left="360"/>
              <w:rPr>
                <w:rFonts w:ascii="Arial" w:hAnsi="Arial" w:cs="Arial"/>
                <w:sz w:val="20"/>
                <w:szCs w:val="20"/>
              </w:rPr>
            </w:pPr>
            <w:r w:rsidRPr="00FF2BF5">
              <w:rPr>
                <w:rFonts w:ascii="Arial" w:hAnsi="Arial" w:cs="Arial"/>
                <w:sz w:val="20"/>
                <w:szCs w:val="20"/>
              </w:rPr>
              <w:t xml:space="preserve">1,5-Grad-kompatibler </w:t>
            </w:r>
            <w:hyperlink r:id="rId15" w:tgtFrame="_top" w:history="1">
              <w:r w:rsidRPr="00FF2BF5">
                <w:rPr>
                  <w:rStyle w:val="Hyperlink"/>
                  <w:rFonts w:ascii="Arial" w:hAnsi="Arial" w:cs="Arial"/>
                  <w:sz w:val="20"/>
                  <w:szCs w:val="20"/>
                </w:rPr>
                <w:t>GLS Bank Klimafonds</w:t>
              </w:r>
            </w:hyperlink>
          </w:p>
          <w:p w14:paraId="3A06744A" w14:textId="77777777" w:rsidR="00247B8F" w:rsidRPr="00FF2BF5" w:rsidRDefault="00247B8F" w:rsidP="001E1AA9">
            <w:pPr>
              <w:pStyle w:val="StandardWeb"/>
              <w:numPr>
                <w:ilvl w:val="0"/>
                <w:numId w:val="1"/>
              </w:numPr>
              <w:spacing w:after="0" w:afterAutospacing="0"/>
              <w:ind w:left="360"/>
              <w:rPr>
                <w:rFonts w:ascii="Arial" w:hAnsi="Arial" w:cs="Arial"/>
                <w:sz w:val="20"/>
                <w:szCs w:val="20"/>
              </w:rPr>
            </w:pPr>
            <w:hyperlink r:id="rId16" w:tgtFrame="_top" w:history="1">
              <w:r w:rsidRPr="00FF2BF5">
                <w:rPr>
                  <w:rStyle w:val="Hyperlink"/>
                  <w:rFonts w:ascii="Arial" w:hAnsi="Arial" w:cs="Arial"/>
                  <w:sz w:val="20"/>
                  <w:szCs w:val="20"/>
                </w:rPr>
                <w:t>GLS AI - Mikrofinanzfonds</w:t>
              </w:r>
            </w:hyperlink>
            <w:r w:rsidRPr="00FF2BF5">
              <w:rPr>
                <w:rFonts w:ascii="Arial" w:hAnsi="Arial" w:cs="Arial"/>
                <w:sz w:val="20"/>
                <w:szCs w:val="20"/>
              </w:rPr>
              <w:t> für finanzielle Inklusion weltweit.</w:t>
            </w:r>
          </w:p>
          <w:p w14:paraId="24A820B6" w14:textId="77777777" w:rsidR="00247B8F" w:rsidRPr="00FF2BF5" w:rsidRDefault="00247B8F" w:rsidP="001E1AA9">
            <w:pPr>
              <w:pStyle w:val="StandardWeb"/>
              <w:numPr>
                <w:ilvl w:val="0"/>
                <w:numId w:val="1"/>
              </w:numPr>
              <w:spacing w:after="0" w:afterAutospacing="0"/>
              <w:ind w:left="360"/>
              <w:rPr>
                <w:rFonts w:ascii="Arial" w:hAnsi="Arial" w:cs="Arial"/>
                <w:sz w:val="20"/>
                <w:szCs w:val="20"/>
              </w:rPr>
            </w:pPr>
            <w:hyperlink r:id="rId17" w:tgtFrame="_top" w:history="1">
              <w:r w:rsidRPr="00FF2BF5">
                <w:rPr>
                  <w:rStyle w:val="Hyperlink"/>
                  <w:rFonts w:ascii="Arial" w:hAnsi="Arial" w:cs="Arial"/>
                  <w:sz w:val="20"/>
                  <w:szCs w:val="20"/>
                </w:rPr>
                <w:t>B.A.U.M. Fair Future Fonds</w:t>
              </w:r>
            </w:hyperlink>
            <w:r w:rsidRPr="00FF2BF5">
              <w:rPr>
                <w:rFonts w:ascii="Arial" w:hAnsi="Arial" w:cs="Arial"/>
                <w:sz w:val="20"/>
                <w:szCs w:val="20"/>
              </w:rPr>
              <w:t> investiert in kleine und mittlere Unternehmen, die ressourcenschonend arbeiten und ihre soziale Verantwortung wahrnehmen. </w:t>
            </w:r>
          </w:p>
          <w:p w14:paraId="60FBBA2F" w14:textId="4842062C" w:rsidR="00247B8F" w:rsidRPr="00E21065" w:rsidRDefault="00247B8F" w:rsidP="001E1AA9">
            <w:pPr>
              <w:pStyle w:val="StandardWeb"/>
              <w:numPr>
                <w:ilvl w:val="0"/>
                <w:numId w:val="1"/>
              </w:numPr>
              <w:spacing w:after="0" w:afterAutospacing="0"/>
              <w:ind w:left="360"/>
              <w:rPr>
                <w:rFonts w:ascii="Arial" w:hAnsi="Arial" w:cs="Arial"/>
                <w:sz w:val="20"/>
                <w:szCs w:val="20"/>
              </w:rPr>
            </w:pPr>
            <w:hyperlink r:id="rId18" w:tgtFrame="_top" w:history="1">
              <w:proofErr w:type="spellStart"/>
              <w:r w:rsidRPr="00FF2BF5">
                <w:rPr>
                  <w:rStyle w:val="Hyperlink"/>
                  <w:rFonts w:ascii="Arial" w:hAnsi="Arial" w:cs="Arial"/>
                  <w:sz w:val="20"/>
                  <w:szCs w:val="20"/>
                </w:rPr>
                <w:t>FairWorldFonds</w:t>
              </w:r>
              <w:proofErr w:type="spellEnd"/>
            </w:hyperlink>
            <w:r w:rsidRPr="00FF2BF5">
              <w:rPr>
                <w:rFonts w:ascii="Arial" w:hAnsi="Arial" w:cs="Arial"/>
                <w:sz w:val="20"/>
                <w:szCs w:val="20"/>
              </w:rPr>
              <w:t xml:space="preserve"> von GLS Bank, Bank für Kirche und Diakonie sowie Union Investment (Fokus: nachhaltige Entwicklung im globalen Süden)</w:t>
            </w:r>
          </w:p>
        </w:tc>
        <w:tc>
          <w:tcPr>
            <w:tcW w:w="3763" w:type="dxa"/>
            <w:shd w:val="clear" w:color="auto" w:fill="auto"/>
          </w:tcPr>
          <w:p w14:paraId="342295A3" w14:textId="77777777" w:rsidR="00247B8F" w:rsidRPr="00FF2BF5" w:rsidRDefault="00247B8F" w:rsidP="001E1AA9">
            <w:pPr>
              <w:numPr>
                <w:ilvl w:val="0"/>
                <w:numId w:val="1"/>
              </w:numPr>
              <w:suppressAutoHyphens/>
              <w:spacing w:after="0" w:line="240" w:lineRule="auto"/>
              <w:ind w:left="360"/>
              <w:rPr>
                <w:rFonts w:ascii="Arial" w:hAnsi="Arial" w:cs="Arial"/>
                <w:sz w:val="20"/>
                <w:szCs w:val="20"/>
              </w:rPr>
            </w:pPr>
            <w:r w:rsidRPr="00FF2BF5">
              <w:rPr>
                <w:rFonts w:ascii="Arial" w:hAnsi="Arial" w:cs="Arial"/>
                <w:sz w:val="20"/>
                <w:szCs w:val="20"/>
              </w:rPr>
              <w:t>Kreditangebote für Unternehmen, Organisationen, Selbständige und Freiberufler mit bereits</w:t>
            </w:r>
            <w:r>
              <w:rPr>
                <w:rFonts w:ascii="Arial" w:hAnsi="Arial" w:cs="Arial"/>
                <w:sz w:val="20"/>
                <w:szCs w:val="20"/>
              </w:rPr>
              <w:t xml:space="preserve"> </w:t>
            </w:r>
            <w:r w:rsidRPr="00FF2BF5">
              <w:rPr>
                <w:rFonts w:ascii="Arial" w:hAnsi="Arial" w:cs="Arial"/>
                <w:sz w:val="20"/>
                <w:szCs w:val="20"/>
              </w:rPr>
              <w:t xml:space="preserve">bestehendem </w:t>
            </w:r>
            <w:hyperlink r:id="rId19" w:history="1">
              <w:r w:rsidRPr="00FF2BF5">
                <w:rPr>
                  <w:rStyle w:val="Hyperlink"/>
                  <w:rFonts w:ascii="Arial" w:hAnsi="Arial" w:cs="Arial"/>
                  <w:sz w:val="20"/>
                  <w:szCs w:val="20"/>
                </w:rPr>
                <w:t>Geschäftskonto</w:t>
              </w:r>
            </w:hyperlink>
            <w:r w:rsidRPr="00FF2BF5">
              <w:rPr>
                <w:rStyle w:val="Fett"/>
                <w:rFonts w:ascii="Arial" w:hAnsi="Arial" w:cs="Arial"/>
                <w:sz w:val="20"/>
                <w:szCs w:val="20"/>
              </w:rPr>
              <w:t xml:space="preserve"> </w:t>
            </w:r>
            <w:r w:rsidRPr="00FF2BF5">
              <w:rPr>
                <w:rFonts w:ascii="Arial" w:hAnsi="Arial" w:cs="Arial"/>
                <w:sz w:val="20"/>
                <w:szCs w:val="20"/>
              </w:rPr>
              <w:t xml:space="preserve">bei der </w:t>
            </w:r>
            <w:proofErr w:type="spellStart"/>
            <w:r w:rsidRPr="00FF2BF5">
              <w:rPr>
                <w:rFonts w:ascii="Arial" w:hAnsi="Arial" w:cs="Arial"/>
                <w:sz w:val="20"/>
                <w:szCs w:val="20"/>
              </w:rPr>
              <w:t>EthikBank</w:t>
            </w:r>
            <w:proofErr w:type="spellEnd"/>
          </w:p>
          <w:p w14:paraId="2DD34BA8" w14:textId="77777777" w:rsidR="00247B8F" w:rsidRPr="00FF2BF5" w:rsidRDefault="00247B8F" w:rsidP="001E1AA9">
            <w:pPr>
              <w:numPr>
                <w:ilvl w:val="0"/>
                <w:numId w:val="1"/>
              </w:numPr>
              <w:suppressAutoHyphens/>
              <w:spacing w:after="0" w:line="240" w:lineRule="auto"/>
              <w:ind w:left="360"/>
              <w:rPr>
                <w:rFonts w:ascii="Arial" w:hAnsi="Arial" w:cs="Arial"/>
                <w:sz w:val="20"/>
                <w:szCs w:val="20"/>
              </w:rPr>
            </w:pPr>
            <w:r w:rsidRPr="00FF2BF5">
              <w:rPr>
                <w:rFonts w:ascii="Arial" w:hAnsi="Arial" w:cs="Arial"/>
                <w:sz w:val="20"/>
                <w:szCs w:val="20"/>
              </w:rPr>
              <w:t>Keine Finanzierung von Existenzgründungen</w:t>
            </w:r>
          </w:p>
          <w:p w14:paraId="1E0A43C6" w14:textId="77777777" w:rsidR="00247B8F" w:rsidRPr="00FF2BF5" w:rsidRDefault="00247B8F" w:rsidP="001E1AA9">
            <w:pPr>
              <w:numPr>
                <w:ilvl w:val="0"/>
                <w:numId w:val="1"/>
              </w:numPr>
              <w:suppressAutoHyphens/>
              <w:spacing w:after="0" w:line="240" w:lineRule="auto"/>
              <w:ind w:left="360"/>
              <w:rPr>
                <w:rFonts w:ascii="Arial" w:hAnsi="Arial" w:cs="Arial"/>
                <w:sz w:val="20"/>
                <w:szCs w:val="20"/>
              </w:rPr>
            </w:pPr>
            <w:r w:rsidRPr="00FF2BF5">
              <w:rPr>
                <w:rFonts w:ascii="Arial" w:hAnsi="Arial" w:cs="Arial"/>
                <w:sz w:val="20"/>
                <w:szCs w:val="20"/>
              </w:rPr>
              <w:t>Kreditrahmen 10.000- 500.000,- €</w:t>
            </w:r>
          </w:p>
          <w:p w14:paraId="0AD6D14F" w14:textId="77777777" w:rsidR="00247B8F" w:rsidRPr="00E21065" w:rsidRDefault="00247B8F" w:rsidP="001E1AA9">
            <w:pPr>
              <w:numPr>
                <w:ilvl w:val="0"/>
                <w:numId w:val="1"/>
              </w:numPr>
              <w:suppressAutoHyphens/>
              <w:spacing w:after="0" w:line="240" w:lineRule="auto"/>
              <w:ind w:left="360"/>
              <w:rPr>
                <w:rFonts w:ascii="Arial" w:hAnsi="Arial" w:cs="Arial"/>
                <w:sz w:val="20"/>
                <w:szCs w:val="20"/>
              </w:rPr>
            </w:pPr>
            <w:r w:rsidRPr="00FF2BF5">
              <w:rPr>
                <w:rFonts w:ascii="Arial" w:hAnsi="Arial" w:cs="Arial"/>
                <w:sz w:val="20"/>
                <w:szCs w:val="20"/>
              </w:rPr>
              <w:t>Laufzeit individuell</w:t>
            </w:r>
          </w:p>
        </w:tc>
      </w:tr>
    </w:tbl>
    <w:p w14:paraId="1B76A06E" w14:textId="77777777" w:rsidR="00247B8F" w:rsidRDefault="00247B8F" w:rsidP="00247B8F">
      <w:pPr>
        <w:spacing w:after="0"/>
        <w:rPr>
          <w:rFonts w:ascii="Arial" w:hAnsi="Arial" w:cs="Arial"/>
          <w:sz w:val="20"/>
          <w:szCs w:val="20"/>
        </w:rPr>
      </w:pPr>
    </w:p>
    <w:p w14:paraId="4F9EBA38" w14:textId="77777777" w:rsidR="00247B8F" w:rsidRDefault="00247B8F" w:rsidP="00247B8F">
      <w:pPr>
        <w:spacing w:after="0"/>
        <w:rPr>
          <w:rFonts w:ascii="Arial" w:hAnsi="Arial" w:cs="Arial"/>
          <w:sz w:val="20"/>
          <w:szCs w:val="20"/>
        </w:rPr>
      </w:pPr>
    </w:p>
    <w:p w14:paraId="216B0B48" w14:textId="30F55A87" w:rsidR="00247B8F" w:rsidRPr="00E21065" w:rsidRDefault="00247B8F" w:rsidP="00247B8F">
      <w:pPr>
        <w:spacing w:after="0"/>
        <w:rPr>
          <w:rFonts w:ascii="Arial" w:hAnsi="Arial" w:cs="Arial"/>
          <w:sz w:val="20"/>
          <w:szCs w:val="20"/>
        </w:rPr>
      </w:pPr>
      <w:r w:rsidRPr="006C69D1">
        <w:rPr>
          <w:rFonts w:ascii="Arial" w:hAnsi="Arial" w:cs="Arial"/>
          <w:noProof/>
        </w:rPr>
        <w:drawing>
          <wp:anchor distT="0" distB="0" distL="114300" distR="114300" simplePos="0" relativeHeight="251660287" behindDoc="1" locked="0" layoutInCell="1" allowOverlap="1" wp14:anchorId="2E073231" wp14:editId="4E029C60">
            <wp:simplePos x="0" y="0"/>
            <wp:positionH relativeFrom="page">
              <wp:align>right</wp:align>
            </wp:positionH>
            <wp:positionV relativeFrom="page">
              <wp:align>top</wp:align>
            </wp:positionV>
            <wp:extent cx="10678795" cy="1371664"/>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78795" cy="13716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C846D" w14:textId="77777777" w:rsidR="00247B8F" w:rsidRDefault="00247B8F" w:rsidP="00247B8F">
      <w:pPr>
        <w:spacing w:after="0"/>
        <w:rPr>
          <w:rFonts w:ascii="Arial" w:hAnsi="Arial" w:cs="Arial"/>
          <w:sz w:val="20"/>
          <w:szCs w:val="20"/>
        </w:rPr>
      </w:pPr>
    </w:p>
    <w:p w14:paraId="69911712" w14:textId="77777777" w:rsidR="00247B8F" w:rsidRDefault="00247B8F" w:rsidP="00247B8F">
      <w:pPr>
        <w:spacing w:after="0"/>
        <w:rPr>
          <w:rFonts w:ascii="Arial" w:hAnsi="Arial" w:cs="Arial"/>
          <w:sz w:val="20"/>
          <w:szCs w:val="20"/>
        </w:rPr>
      </w:pPr>
    </w:p>
    <w:p w14:paraId="7E2F06B2" w14:textId="77777777" w:rsidR="00247B8F" w:rsidRDefault="00247B8F" w:rsidP="00247B8F">
      <w:pPr>
        <w:spacing w:after="0"/>
        <w:rPr>
          <w:rFonts w:ascii="Arial" w:hAnsi="Arial" w:cs="Arial"/>
          <w:sz w:val="20"/>
          <w:szCs w:val="20"/>
        </w:rPr>
      </w:pPr>
    </w:p>
    <w:p w14:paraId="6D20CFD9" w14:textId="77777777" w:rsidR="00247B8F" w:rsidRPr="00E21065" w:rsidRDefault="00247B8F" w:rsidP="00247B8F">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7828"/>
        <w:gridCol w:w="3704"/>
      </w:tblGrid>
      <w:tr w:rsidR="00247B8F" w:rsidRPr="004D2017" w14:paraId="1C929AD4" w14:textId="77777777" w:rsidTr="001E1AA9">
        <w:tc>
          <w:tcPr>
            <w:tcW w:w="2752" w:type="dxa"/>
            <w:shd w:val="clear" w:color="auto" w:fill="auto"/>
          </w:tcPr>
          <w:p w14:paraId="1ED2BB55" w14:textId="77777777" w:rsidR="00247B8F" w:rsidRPr="004D2017" w:rsidRDefault="00247B8F" w:rsidP="001E1AA9">
            <w:pPr>
              <w:spacing w:after="0"/>
              <w:rPr>
                <w:rFonts w:ascii="Arial" w:hAnsi="Arial" w:cs="Arial"/>
                <w:sz w:val="20"/>
                <w:szCs w:val="20"/>
              </w:rPr>
            </w:pPr>
          </w:p>
        </w:tc>
        <w:tc>
          <w:tcPr>
            <w:tcW w:w="7936" w:type="dxa"/>
            <w:shd w:val="clear" w:color="auto" w:fill="auto"/>
          </w:tcPr>
          <w:p w14:paraId="15697D54" w14:textId="77777777" w:rsidR="00247B8F" w:rsidRPr="00FF2BF5" w:rsidRDefault="00247B8F" w:rsidP="001E1AA9">
            <w:pPr>
              <w:pStyle w:val="StandardWeb"/>
              <w:numPr>
                <w:ilvl w:val="0"/>
                <w:numId w:val="1"/>
              </w:numPr>
              <w:spacing w:after="0" w:afterAutospacing="0"/>
              <w:ind w:left="360"/>
              <w:rPr>
                <w:rFonts w:ascii="Arial" w:hAnsi="Arial" w:cs="Arial"/>
                <w:sz w:val="20"/>
                <w:szCs w:val="20"/>
              </w:rPr>
            </w:pPr>
            <w:r w:rsidRPr="00FF2BF5">
              <w:rPr>
                <w:rFonts w:ascii="Arial" w:hAnsi="Arial" w:cs="Arial"/>
                <w:sz w:val="20"/>
                <w:szCs w:val="20"/>
              </w:rPr>
              <w:t>Finanzierung in den Sektoren Ernährung, erneuerbare Energien, Bildung und Kultur, Wohnen, Soziales und Gesundheit sowie die nachhaltige Wirtschaft.</w:t>
            </w:r>
          </w:p>
          <w:p w14:paraId="0AF9C401" w14:textId="77777777" w:rsidR="00247B8F" w:rsidRPr="00FF2BF5" w:rsidRDefault="00247B8F" w:rsidP="001E1AA9">
            <w:pPr>
              <w:numPr>
                <w:ilvl w:val="0"/>
                <w:numId w:val="1"/>
              </w:numPr>
              <w:suppressAutoHyphens/>
              <w:spacing w:after="0" w:line="240" w:lineRule="auto"/>
              <w:ind w:left="360"/>
              <w:jc w:val="both"/>
              <w:rPr>
                <w:rFonts w:ascii="Arial" w:hAnsi="Arial" w:cs="Arial"/>
                <w:sz w:val="20"/>
                <w:szCs w:val="20"/>
              </w:rPr>
            </w:pPr>
            <w:hyperlink r:id="rId20" w:history="1">
              <w:r w:rsidRPr="00FF2BF5">
                <w:rPr>
                  <w:rStyle w:val="Hyperlink"/>
                  <w:rFonts w:ascii="Arial" w:hAnsi="Arial" w:cs="Arial"/>
                  <w:sz w:val="20"/>
                  <w:szCs w:val="20"/>
                </w:rPr>
                <w:t>https://www.gls.de/media/PDF/Broschueren/GLS_Bank/gls_anlage-und_finanzierungsgrundsaetze.pdf</w:t>
              </w:r>
            </w:hyperlink>
          </w:p>
        </w:tc>
        <w:tc>
          <w:tcPr>
            <w:tcW w:w="3815" w:type="dxa"/>
            <w:shd w:val="clear" w:color="auto" w:fill="auto"/>
          </w:tcPr>
          <w:p w14:paraId="2AE10E97" w14:textId="77777777" w:rsidR="00247B8F" w:rsidRPr="00FF2BF5" w:rsidRDefault="00247B8F" w:rsidP="001E1AA9">
            <w:pPr>
              <w:numPr>
                <w:ilvl w:val="0"/>
                <w:numId w:val="1"/>
              </w:numPr>
              <w:suppressAutoHyphens/>
              <w:spacing w:after="0" w:line="240" w:lineRule="auto"/>
              <w:ind w:left="360"/>
              <w:rPr>
                <w:rFonts w:ascii="Arial" w:hAnsi="Arial" w:cs="Arial"/>
                <w:sz w:val="20"/>
                <w:szCs w:val="20"/>
              </w:rPr>
            </w:pPr>
            <w:r w:rsidRPr="00FF2BF5">
              <w:rPr>
                <w:rFonts w:ascii="Arial" w:hAnsi="Arial" w:cs="Arial"/>
                <w:sz w:val="20"/>
                <w:szCs w:val="20"/>
              </w:rPr>
              <w:t>Auszahlung 100%</w:t>
            </w:r>
          </w:p>
          <w:p w14:paraId="16F9817D" w14:textId="77777777" w:rsidR="00247B8F" w:rsidRPr="00FF2BF5" w:rsidRDefault="00247B8F" w:rsidP="001E1AA9">
            <w:pPr>
              <w:numPr>
                <w:ilvl w:val="0"/>
                <w:numId w:val="1"/>
              </w:numPr>
              <w:suppressAutoHyphens/>
              <w:spacing w:after="0" w:line="240" w:lineRule="auto"/>
              <w:ind w:left="360"/>
              <w:rPr>
                <w:rFonts w:ascii="Arial" w:hAnsi="Arial" w:cs="Arial"/>
                <w:sz w:val="20"/>
                <w:szCs w:val="20"/>
              </w:rPr>
            </w:pPr>
            <w:r w:rsidRPr="00FF2BF5">
              <w:rPr>
                <w:rFonts w:ascii="Arial" w:hAnsi="Arial" w:cs="Arial"/>
                <w:sz w:val="20"/>
                <w:szCs w:val="20"/>
              </w:rPr>
              <w:t>Keine Bearbeitungsgebühr</w:t>
            </w:r>
          </w:p>
          <w:p w14:paraId="7CE94896" w14:textId="77777777" w:rsidR="00247B8F" w:rsidRPr="00FF2BF5" w:rsidRDefault="00247B8F" w:rsidP="001E1AA9">
            <w:pPr>
              <w:numPr>
                <w:ilvl w:val="0"/>
                <w:numId w:val="2"/>
              </w:numPr>
              <w:spacing w:after="0" w:line="240" w:lineRule="auto"/>
              <w:ind w:left="360"/>
              <w:rPr>
                <w:rFonts w:ascii="Arial" w:hAnsi="Arial" w:cs="Arial"/>
                <w:sz w:val="20"/>
                <w:szCs w:val="20"/>
                <w:lang w:eastAsia="de-DE"/>
              </w:rPr>
            </w:pPr>
            <w:r w:rsidRPr="00FF2BF5">
              <w:rPr>
                <w:rFonts w:ascii="Arial" w:hAnsi="Arial" w:cs="Arial"/>
                <w:sz w:val="20"/>
                <w:szCs w:val="20"/>
              </w:rPr>
              <w:t>Festzins über die gesamte Laufzeit</w:t>
            </w:r>
          </w:p>
        </w:tc>
      </w:tr>
      <w:tr w:rsidR="00247B8F" w:rsidRPr="004D2017" w14:paraId="443BE1DA" w14:textId="77777777" w:rsidTr="001E1AA9">
        <w:tc>
          <w:tcPr>
            <w:tcW w:w="2752" w:type="dxa"/>
            <w:shd w:val="clear" w:color="auto" w:fill="auto"/>
          </w:tcPr>
          <w:p w14:paraId="3F4A8611" w14:textId="77777777" w:rsidR="00247B8F" w:rsidRPr="004D2017" w:rsidRDefault="00247B8F" w:rsidP="001E1AA9">
            <w:pPr>
              <w:spacing w:after="0"/>
              <w:rPr>
                <w:rFonts w:ascii="Arial" w:hAnsi="Arial" w:cs="Arial"/>
                <w:sz w:val="20"/>
                <w:szCs w:val="20"/>
              </w:rPr>
            </w:pPr>
            <w:proofErr w:type="spellStart"/>
            <w:r w:rsidRPr="004D2017">
              <w:rPr>
                <w:rFonts w:ascii="Arial" w:hAnsi="Arial" w:cs="Arial"/>
                <w:sz w:val="20"/>
                <w:szCs w:val="20"/>
              </w:rPr>
              <w:t>EthikBank</w:t>
            </w:r>
            <w:proofErr w:type="spellEnd"/>
          </w:p>
          <w:p w14:paraId="290605DB" w14:textId="77777777" w:rsidR="00247B8F" w:rsidRPr="004D2017" w:rsidRDefault="00247B8F" w:rsidP="001E1AA9">
            <w:pPr>
              <w:spacing w:after="0"/>
              <w:rPr>
                <w:rFonts w:ascii="Arial" w:hAnsi="Arial" w:cs="Arial"/>
                <w:sz w:val="20"/>
                <w:szCs w:val="20"/>
              </w:rPr>
            </w:pPr>
          </w:p>
          <w:p w14:paraId="671B6791" w14:textId="77777777" w:rsidR="00247B8F" w:rsidRPr="004D2017" w:rsidRDefault="00247B8F" w:rsidP="001E1AA9">
            <w:pPr>
              <w:spacing w:after="0"/>
              <w:rPr>
                <w:rFonts w:ascii="Arial" w:hAnsi="Arial" w:cs="Arial"/>
                <w:sz w:val="20"/>
                <w:szCs w:val="20"/>
              </w:rPr>
            </w:pPr>
            <w:hyperlink r:id="rId21" w:history="1">
              <w:r w:rsidRPr="004D2017">
                <w:rPr>
                  <w:rStyle w:val="Hyperlink"/>
                  <w:rFonts w:ascii="Arial" w:hAnsi="Arial" w:cs="Arial"/>
                  <w:sz w:val="20"/>
                  <w:szCs w:val="20"/>
                </w:rPr>
                <w:t>https://www.ethikbank.de</w:t>
              </w:r>
            </w:hyperlink>
          </w:p>
          <w:p w14:paraId="21610AAE" w14:textId="77777777" w:rsidR="00247B8F" w:rsidRPr="004D2017" w:rsidRDefault="00247B8F" w:rsidP="001E1AA9">
            <w:pPr>
              <w:spacing w:after="0"/>
              <w:rPr>
                <w:rFonts w:ascii="Arial" w:hAnsi="Arial" w:cs="Arial"/>
                <w:sz w:val="20"/>
                <w:szCs w:val="20"/>
              </w:rPr>
            </w:pPr>
          </w:p>
        </w:tc>
        <w:tc>
          <w:tcPr>
            <w:tcW w:w="7936" w:type="dxa"/>
            <w:shd w:val="clear" w:color="auto" w:fill="auto"/>
          </w:tcPr>
          <w:p w14:paraId="22E3895C" w14:textId="77777777" w:rsidR="00247B8F" w:rsidRPr="00FF2BF5" w:rsidRDefault="00247B8F" w:rsidP="001E1AA9">
            <w:pPr>
              <w:numPr>
                <w:ilvl w:val="0"/>
                <w:numId w:val="1"/>
              </w:numPr>
              <w:suppressAutoHyphens/>
              <w:spacing w:after="0" w:line="240" w:lineRule="auto"/>
              <w:ind w:left="360"/>
              <w:jc w:val="both"/>
              <w:rPr>
                <w:rFonts w:ascii="Arial" w:hAnsi="Arial" w:cs="Arial"/>
                <w:sz w:val="20"/>
                <w:szCs w:val="20"/>
              </w:rPr>
            </w:pPr>
            <w:r w:rsidRPr="00FF2BF5">
              <w:rPr>
                <w:rFonts w:ascii="Arial" w:hAnsi="Arial" w:cs="Arial"/>
                <w:sz w:val="20"/>
                <w:szCs w:val="20"/>
              </w:rPr>
              <w:t>Ethisch-ökologische Girokonten, Geldanlagen und Kredite</w:t>
            </w:r>
          </w:p>
          <w:p w14:paraId="0E19413A" w14:textId="77777777" w:rsidR="00247B8F" w:rsidRPr="00FF2BF5" w:rsidRDefault="00247B8F" w:rsidP="001E1AA9">
            <w:pPr>
              <w:pStyle w:val="bodytext"/>
              <w:numPr>
                <w:ilvl w:val="0"/>
                <w:numId w:val="1"/>
              </w:numPr>
              <w:spacing w:after="0" w:afterAutospacing="0"/>
              <w:ind w:left="360"/>
              <w:rPr>
                <w:rFonts w:ascii="Arial" w:hAnsi="Arial" w:cs="Arial"/>
                <w:sz w:val="20"/>
                <w:szCs w:val="20"/>
              </w:rPr>
            </w:pPr>
            <w:r w:rsidRPr="00FF2BF5">
              <w:rPr>
                <w:rFonts w:ascii="Arial" w:hAnsi="Arial" w:cs="Arial"/>
                <w:sz w:val="20"/>
                <w:szCs w:val="20"/>
              </w:rPr>
              <w:t xml:space="preserve">Investitionen in die Unternehmen des </w:t>
            </w:r>
            <w:r w:rsidRPr="00FF2BF5">
              <w:rPr>
                <w:rStyle w:val="Fett"/>
                <w:rFonts w:ascii="Arial" w:hAnsi="Arial" w:cs="Arial"/>
                <w:sz w:val="20"/>
                <w:szCs w:val="20"/>
              </w:rPr>
              <w:t>Natur-Aktien-Index (NAI)</w:t>
            </w:r>
            <w:r w:rsidRPr="00FF2BF5">
              <w:rPr>
                <w:rFonts w:ascii="Arial" w:hAnsi="Arial" w:cs="Arial"/>
                <w:sz w:val="20"/>
                <w:szCs w:val="20"/>
              </w:rPr>
              <w:t xml:space="preserve"> und des </w:t>
            </w:r>
            <w:r w:rsidRPr="00FF2BF5">
              <w:rPr>
                <w:rStyle w:val="Fett"/>
                <w:rFonts w:ascii="Arial" w:hAnsi="Arial" w:cs="Arial"/>
                <w:sz w:val="20"/>
                <w:szCs w:val="20"/>
              </w:rPr>
              <w:t>Global Challenges Index (GCX)</w:t>
            </w:r>
            <w:r w:rsidRPr="00FF2BF5">
              <w:rPr>
                <w:rFonts w:ascii="Arial" w:hAnsi="Arial" w:cs="Arial"/>
                <w:sz w:val="20"/>
                <w:szCs w:val="20"/>
              </w:rPr>
              <w:t xml:space="preserve">. </w:t>
            </w:r>
          </w:p>
          <w:p w14:paraId="79E80763" w14:textId="77777777" w:rsidR="00247B8F" w:rsidRPr="00FF2BF5" w:rsidRDefault="00247B8F" w:rsidP="001E1AA9">
            <w:pPr>
              <w:pStyle w:val="bodytext"/>
              <w:numPr>
                <w:ilvl w:val="0"/>
                <w:numId w:val="1"/>
              </w:numPr>
              <w:spacing w:after="0" w:afterAutospacing="0"/>
              <w:ind w:left="360"/>
              <w:rPr>
                <w:rFonts w:ascii="Arial" w:hAnsi="Arial" w:cs="Arial"/>
                <w:sz w:val="20"/>
                <w:szCs w:val="20"/>
              </w:rPr>
            </w:pPr>
            <w:r w:rsidRPr="00FF2BF5">
              <w:rPr>
                <w:rFonts w:ascii="Arial" w:hAnsi="Arial" w:cs="Arial"/>
                <w:sz w:val="20"/>
                <w:szCs w:val="20"/>
              </w:rPr>
              <w:t xml:space="preserve">Kauf von Wertpapieren ausgewählter Unternehmen des </w:t>
            </w:r>
            <w:r w:rsidRPr="00FF2BF5">
              <w:rPr>
                <w:rStyle w:val="Fett"/>
                <w:rFonts w:ascii="Arial" w:hAnsi="Arial" w:cs="Arial"/>
                <w:sz w:val="20"/>
                <w:szCs w:val="20"/>
              </w:rPr>
              <w:t xml:space="preserve">DAX und MDAX </w:t>
            </w:r>
            <w:r w:rsidRPr="00FF2BF5">
              <w:rPr>
                <w:rFonts w:ascii="Arial" w:hAnsi="Arial" w:cs="Arial"/>
                <w:sz w:val="20"/>
                <w:szCs w:val="20"/>
              </w:rPr>
              <w:t>und des</w:t>
            </w:r>
            <w:r w:rsidRPr="00FF2BF5">
              <w:rPr>
                <w:rStyle w:val="Fett"/>
                <w:rFonts w:ascii="Arial" w:hAnsi="Arial" w:cs="Arial"/>
                <w:sz w:val="20"/>
                <w:szCs w:val="20"/>
              </w:rPr>
              <w:t xml:space="preserve"> S&amp;P Europe 350 </w:t>
            </w:r>
            <w:r w:rsidRPr="00FF2BF5">
              <w:rPr>
                <w:rStyle w:val="Fett"/>
                <w:rFonts w:ascii="Arial" w:hAnsi="Arial" w:cs="Arial"/>
                <w:b w:val="0"/>
                <w:sz w:val="20"/>
                <w:szCs w:val="20"/>
              </w:rPr>
              <w:t xml:space="preserve">unter Ausschluss von </w:t>
            </w:r>
            <w:hyperlink r:id="rId22" w:history="1">
              <w:r w:rsidRPr="00FF2BF5">
                <w:rPr>
                  <w:rStyle w:val="Hyperlink"/>
                  <w:rFonts w:ascii="Arial" w:hAnsi="Arial" w:cs="Arial"/>
                  <w:sz w:val="20"/>
                  <w:szCs w:val="20"/>
                </w:rPr>
                <w:t>Negativkriterien</w:t>
              </w:r>
            </w:hyperlink>
            <w:r w:rsidRPr="00FF2BF5">
              <w:rPr>
                <w:rFonts w:ascii="Arial" w:hAnsi="Arial" w:cs="Arial"/>
                <w:sz w:val="20"/>
                <w:szCs w:val="20"/>
              </w:rPr>
              <w:t xml:space="preserve"> </w:t>
            </w:r>
          </w:p>
          <w:p w14:paraId="55705F71" w14:textId="77777777" w:rsidR="00247B8F" w:rsidRPr="00FF2BF5" w:rsidRDefault="00247B8F" w:rsidP="001E1AA9">
            <w:pPr>
              <w:pStyle w:val="bodytext"/>
              <w:numPr>
                <w:ilvl w:val="0"/>
                <w:numId w:val="1"/>
              </w:numPr>
              <w:spacing w:after="0" w:afterAutospacing="0"/>
              <w:ind w:left="360"/>
              <w:rPr>
                <w:rFonts w:ascii="Arial" w:hAnsi="Arial" w:cs="Arial"/>
                <w:sz w:val="20"/>
                <w:szCs w:val="20"/>
              </w:rPr>
            </w:pPr>
            <w:r w:rsidRPr="00FF2BF5">
              <w:rPr>
                <w:rFonts w:ascii="Arial" w:hAnsi="Arial" w:cs="Arial"/>
                <w:sz w:val="20"/>
                <w:szCs w:val="20"/>
              </w:rPr>
              <w:t xml:space="preserve">Nach Durchführung des Filters der Ausschlusskriterien werden die verbleibenden Kapitalmarktunternehmen (DAX, MDAX, S+P Europe 350) und Banken in Bezug auf ihre </w:t>
            </w:r>
            <w:r w:rsidRPr="00FF2BF5">
              <w:rPr>
                <w:rStyle w:val="Fett"/>
                <w:rFonts w:ascii="Arial" w:hAnsi="Arial" w:cs="Arial"/>
                <w:sz w:val="20"/>
                <w:szCs w:val="20"/>
              </w:rPr>
              <w:t>ESG-Leistungen</w:t>
            </w:r>
            <w:r w:rsidRPr="00FF2BF5">
              <w:rPr>
                <w:rFonts w:ascii="Arial" w:hAnsi="Arial" w:cs="Arial"/>
                <w:sz w:val="20"/>
                <w:szCs w:val="20"/>
              </w:rPr>
              <w:t xml:space="preserve"> (Umwelt, Soziales und Unternehmensführung) bewertet. </w:t>
            </w:r>
          </w:p>
          <w:p w14:paraId="530A6344" w14:textId="77777777" w:rsidR="00247B8F" w:rsidRPr="00FF2BF5" w:rsidRDefault="00247B8F" w:rsidP="001E1AA9">
            <w:pPr>
              <w:pStyle w:val="bodytext"/>
              <w:numPr>
                <w:ilvl w:val="0"/>
                <w:numId w:val="1"/>
              </w:numPr>
              <w:spacing w:after="0" w:afterAutospacing="0"/>
              <w:ind w:left="360"/>
              <w:rPr>
                <w:rFonts w:ascii="Arial" w:hAnsi="Arial" w:cs="Arial"/>
                <w:sz w:val="20"/>
                <w:szCs w:val="20"/>
              </w:rPr>
            </w:pPr>
            <w:r w:rsidRPr="00FF2BF5">
              <w:rPr>
                <w:rFonts w:ascii="Arial" w:hAnsi="Arial" w:cs="Arial"/>
                <w:sz w:val="20"/>
                <w:szCs w:val="20"/>
              </w:rPr>
              <w:t xml:space="preserve">Basierend auf internationalen Standards und Normen werden die Unternehmen in den folgenden Bereichen untersucht: Umwelt, Menschenrechte, Beschäftigte, Gesellschaft, Wirtschaftsethik, Corporate </w:t>
            </w:r>
            <w:proofErr w:type="spellStart"/>
            <w:r w:rsidRPr="00FF2BF5">
              <w:rPr>
                <w:rFonts w:ascii="Arial" w:hAnsi="Arial" w:cs="Arial"/>
                <w:sz w:val="20"/>
                <w:szCs w:val="20"/>
              </w:rPr>
              <w:t>Governance</w:t>
            </w:r>
            <w:proofErr w:type="spellEnd"/>
          </w:p>
        </w:tc>
        <w:tc>
          <w:tcPr>
            <w:tcW w:w="3815" w:type="dxa"/>
            <w:shd w:val="clear" w:color="auto" w:fill="auto"/>
          </w:tcPr>
          <w:p w14:paraId="508F1326" w14:textId="77777777" w:rsidR="00247B8F" w:rsidRPr="00FF2BF5" w:rsidRDefault="00247B8F" w:rsidP="001E1AA9">
            <w:pPr>
              <w:numPr>
                <w:ilvl w:val="0"/>
                <w:numId w:val="2"/>
              </w:numPr>
              <w:spacing w:after="0" w:line="240" w:lineRule="auto"/>
              <w:ind w:left="360"/>
              <w:rPr>
                <w:rFonts w:ascii="Arial" w:hAnsi="Arial" w:cs="Arial"/>
                <w:sz w:val="20"/>
                <w:szCs w:val="20"/>
                <w:lang w:eastAsia="de-DE"/>
              </w:rPr>
            </w:pPr>
            <w:r w:rsidRPr="00FF2BF5">
              <w:rPr>
                <w:rFonts w:ascii="Arial" w:hAnsi="Arial" w:cs="Arial"/>
                <w:sz w:val="20"/>
                <w:szCs w:val="20"/>
                <w:lang w:eastAsia="de-DE"/>
              </w:rPr>
              <w:t>100 % nachhaltige Wertpapiere</w:t>
            </w:r>
          </w:p>
          <w:p w14:paraId="1BDE84C7" w14:textId="77777777" w:rsidR="00247B8F" w:rsidRPr="00FF2BF5" w:rsidRDefault="00247B8F" w:rsidP="001E1AA9">
            <w:pPr>
              <w:numPr>
                <w:ilvl w:val="0"/>
                <w:numId w:val="2"/>
              </w:numPr>
              <w:suppressAutoHyphens/>
              <w:spacing w:after="0" w:line="240" w:lineRule="auto"/>
              <w:ind w:left="360"/>
              <w:rPr>
                <w:rFonts w:ascii="Arial" w:hAnsi="Arial" w:cs="Arial"/>
                <w:sz w:val="20"/>
                <w:szCs w:val="20"/>
              </w:rPr>
            </w:pPr>
            <w:r w:rsidRPr="00FF2BF5">
              <w:rPr>
                <w:rFonts w:ascii="Arial" w:hAnsi="Arial" w:cs="Arial"/>
                <w:sz w:val="20"/>
                <w:szCs w:val="20"/>
                <w:lang w:eastAsia="de-DE"/>
              </w:rPr>
              <w:t>Kostenfreie Depotführung</w:t>
            </w:r>
          </w:p>
          <w:p w14:paraId="42989651" w14:textId="77777777" w:rsidR="00247B8F" w:rsidRPr="00FF2BF5" w:rsidRDefault="00247B8F" w:rsidP="001E1AA9">
            <w:pPr>
              <w:numPr>
                <w:ilvl w:val="0"/>
                <w:numId w:val="2"/>
              </w:numPr>
              <w:suppressAutoHyphens/>
              <w:spacing w:after="0" w:line="240" w:lineRule="auto"/>
              <w:ind w:left="360"/>
              <w:rPr>
                <w:rFonts w:ascii="Arial" w:hAnsi="Arial" w:cs="Arial"/>
                <w:sz w:val="20"/>
                <w:szCs w:val="20"/>
              </w:rPr>
            </w:pPr>
            <w:r w:rsidRPr="00FF2BF5">
              <w:rPr>
                <w:rFonts w:ascii="Arial" w:hAnsi="Arial" w:cs="Arial"/>
                <w:sz w:val="20"/>
                <w:szCs w:val="20"/>
              </w:rPr>
              <w:t>Monatlicher Sparplan: ab 25,- €</w:t>
            </w:r>
          </w:p>
          <w:p w14:paraId="72CB7AF6" w14:textId="77777777" w:rsidR="00247B8F" w:rsidRPr="00FF2BF5" w:rsidRDefault="00247B8F" w:rsidP="001E1AA9">
            <w:pPr>
              <w:numPr>
                <w:ilvl w:val="0"/>
                <w:numId w:val="2"/>
              </w:numPr>
              <w:suppressAutoHyphens/>
              <w:spacing w:after="0" w:line="240" w:lineRule="auto"/>
              <w:ind w:left="360"/>
              <w:rPr>
                <w:rFonts w:ascii="Arial" w:hAnsi="Arial" w:cs="Arial"/>
                <w:sz w:val="20"/>
                <w:szCs w:val="20"/>
              </w:rPr>
            </w:pPr>
            <w:r w:rsidRPr="00FF2BF5">
              <w:rPr>
                <w:rFonts w:ascii="Arial" w:hAnsi="Arial" w:cs="Arial"/>
                <w:sz w:val="20"/>
                <w:szCs w:val="20"/>
              </w:rPr>
              <w:t>Kreditrahmen ab 10.000,- €</w:t>
            </w:r>
          </w:p>
          <w:p w14:paraId="033931E5" w14:textId="77777777" w:rsidR="00247B8F" w:rsidRPr="00FF2BF5" w:rsidRDefault="00247B8F" w:rsidP="001E1AA9">
            <w:pPr>
              <w:numPr>
                <w:ilvl w:val="0"/>
                <w:numId w:val="1"/>
              </w:numPr>
              <w:suppressAutoHyphens/>
              <w:spacing w:after="0" w:line="240" w:lineRule="auto"/>
              <w:ind w:left="360"/>
              <w:rPr>
                <w:rFonts w:ascii="Arial" w:hAnsi="Arial" w:cs="Arial"/>
                <w:sz w:val="20"/>
                <w:szCs w:val="20"/>
              </w:rPr>
            </w:pPr>
            <w:r w:rsidRPr="00FF2BF5">
              <w:rPr>
                <w:rFonts w:ascii="Arial" w:hAnsi="Arial" w:cs="Arial"/>
                <w:sz w:val="20"/>
                <w:szCs w:val="20"/>
              </w:rPr>
              <w:t>Flexible Laufzeit</w:t>
            </w:r>
          </w:p>
        </w:tc>
      </w:tr>
      <w:tr w:rsidR="00247B8F" w:rsidRPr="004D2017" w14:paraId="2C605E56" w14:textId="77777777" w:rsidTr="001E1AA9">
        <w:tc>
          <w:tcPr>
            <w:tcW w:w="2752" w:type="dxa"/>
            <w:shd w:val="clear" w:color="auto" w:fill="auto"/>
          </w:tcPr>
          <w:p w14:paraId="485442DC" w14:textId="77777777" w:rsidR="00247B8F" w:rsidRPr="004D2017" w:rsidRDefault="00247B8F" w:rsidP="001E1AA9">
            <w:pPr>
              <w:spacing w:after="0"/>
              <w:rPr>
                <w:rFonts w:ascii="Arial" w:hAnsi="Arial" w:cs="Arial"/>
                <w:sz w:val="20"/>
                <w:szCs w:val="20"/>
              </w:rPr>
            </w:pPr>
            <w:r w:rsidRPr="004D2017">
              <w:rPr>
                <w:rFonts w:ascii="Arial" w:hAnsi="Arial" w:cs="Arial"/>
                <w:sz w:val="20"/>
                <w:szCs w:val="20"/>
              </w:rPr>
              <w:t>Umweltbank</w:t>
            </w:r>
          </w:p>
          <w:p w14:paraId="6395DA85" w14:textId="77777777" w:rsidR="00247B8F" w:rsidRPr="004D2017" w:rsidRDefault="00247B8F" w:rsidP="001E1AA9">
            <w:pPr>
              <w:spacing w:after="0"/>
              <w:rPr>
                <w:rFonts w:ascii="Arial" w:hAnsi="Arial" w:cs="Arial"/>
                <w:sz w:val="20"/>
                <w:szCs w:val="20"/>
              </w:rPr>
            </w:pPr>
          </w:p>
          <w:p w14:paraId="06ED100A" w14:textId="77777777" w:rsidR="00247B8F" w:rsidRPr="004D2017" w:rsidRDefault="00247B8F" w:rsidP="001E1AA9">
            <w:pPr>
              <w:spacing w:after="0"/>
              <w:rPr>
                <w:rFonts w:ascii="Arial" w:hAnsi="Arial" w:cs="Arial"/>
                <w:sz w:val="20"/>
                <w:szCs w:val="20"/>
              </w:rPr>
            </w:pPr>
            <w:hyperlink r:id="rId23" w:history="1">
              <w:r w:rsidRPr="004D2017">
                <w:rPr>
                  <w:rStyle w:val="Hyperlink"/>
                  <w:rFonts w:ascii="Arial" w:hAnsi="Arial" w:cs="Arial"/>
                  <w:sz w:val="20"/>
                  <w:szCs w:val="20"/>
                </w:rPr>
                <w:t>https://www.umweltbank.de</w:t>
              </w:r>
            </w:hyperlink>
          </w:p>
        </w:tc>
        <w:tc>
          <w:tcPr>
            <w:tcW w:w="7936" w:type="dxa"/>
            <w:shd w:val="clear" w:color="auto" w:fill="auto"/>
          </w:tcPr>
          <w:p w14:paraId="4F8CFC70" w14:textId="77777777" w:rsidR="00247B8F" w:rsidRPr="00FF2BF5" w:rsidRDefault="00247B8F" w:rsidP="001E1AA9">
            <w:pPr>
              <w:numPr>
                <w:ilvl w:val="0"/>
                <w:numId w:val="2"/>
              </w:numPr>
              <w:suppressAutoHyphens/>
              <w:spacing w:before="100" w:beforeAutospacing="1" w:after="0" w:line="240" w:lineRule="auto"/>
              <w:ind w:left="360"/>
              <w:rPr>
                <w:rFonts w:ascii="Arial" w:hAnsi="Arial" w:cs="Arial"/>
                <w:sz w:val="20"/>
                <w:szCs w:val="20"/>
              </w:rPr>
            </w:pPr>
            <w:r w:rsidRPr="00FF2BF5">
              <w:rPr>
                <w:rFonts w:ascii="Arial" w:hAnsi="Arial" w:cs="Arial"/>
                <w:sz w:val="20"/>
                <w:szCs w:val="20"/>
              </w:rPr>
              <w:t>Finanzierung von Projekten und Investition in Unternehmen, die eine nachhaltige Verbesserung der aktuellen Lebenssituation ermöglichen (im Einklang</w:t>
            </w:r>
            <w:r w:rsidRPr="00FF2BF5">
              <w:rPr>
                <w:rFonts w:ascii="Arial" w:hAnsi="Arial" w:cs="Arial"/>
                <w:sz w:val="20"/>
                <w:szCs w:val="20"/>
              </w:rPr>
              <w:br/>
              <w:t>mit den Nachhaltigkeitszielen der Vereinten Nationen (SDG, Sustainable Development Goals, (</w:t>
            </w:r>
            <w:hyperlink r:id="rId24" w:history="1">
              <w:r w:rsidRPr="00FF2BF5">
                <w:rPr>
                  <w:rStyle w:val="Hyperlink"/>
                  <w:rFonts w:ascii="Arial" w:hAnsi="Arial" w:cs="Arial"/>
                  <w:sz w:val="20"/>
                  <w:szCs w:val="20"/>
                </w:rPr>
                <w:t>www.17ziele.de</w:t>
              </w:r>
            </w:hyperlink>
            <w:r w:rsidRPr="00FF2BF5">
              <w:rPr>
                <w:rFonts w:ascii="Arial" w:hAnsi="Arial" w:cs="Arial"/>
                <w:sz w:val="20"/>
                <w:szCs w:val="20"/>
              </w:rPr>
              <w:t xml:space="preserve">); </w:t>
            </w:r>
            <w:r w:rsidRPr="00FF2BF5">
              <w:rPr>
                <w:rStyle w:val="Hervorhebung"/>
                <w:rFonts w:ascii="Arial" w:hAnsi="Arial" w:cs="Arial"/>
                <w:i w:val="0"/>
                <w:sz w:val="20"/>
                <w:szCs w:val="20"/>
              </w:rPr>
              <w:t>Berücksichtigung</w:t>
            </w:r>
            <w:r w:rsidRPr="00FF2BF5">
              <w:rPr>
                <w:rFonts w:ascii="Arial" w:hAnsi="Arial" w:cs="Arial"/>
                <w:i/>
                <w:sz w:val="20"/>
                <w:szCs w:val="20"/>
              </w:rPr>
              <w:t xml:space="preserve"> </w:t>
            </w:r>
            <w:r w:rsidRPr="00FF2BF5">
              <w:rPr>
                <w:rFonts w:ascii="Arial" w:hAnsi="Arial" w:cs="Arial"/>
                <w:sz w:val="20"/>
                <w:szCs w:val="20"/>
              </w:rPr>
              <w:t>aller drei Dimensionen der Nachhaltigkeit: Soziales, Umwelt, Wirtschaft)</w:t>
            </w:r>
          </w:p>
          <w:p w14:paraId="6EBD465A" w14:textId="77777777" w:rsidR="00247B8F" w:rsidRPr="00FF2BF5" w:rsidRDefault="00247B8F" w:rsidP="001E1AA9">
            <w:pPr>
              <w:numPr>
                <w:ilvl w:val="0"/>
                <w:numId w:val="2"/>
              </w:numPr>
              <w:suppressAutoHyphens/>
              <w:spacing w:before="100" w:beforeAutospacing="1" w:after="0" w:line="240" w:lineRule="auto"/>
              <w:ind w:left="360"/>
              <w:rPr>
                <w:rFonts w:ascii="Arial" w:hAnsi="Arial" w:cs="Arial"/>
                <w:sz w:val="20"/>
                <w:szCs w:val="20"/>
              </w:rPr>
            </w:pPr>
            <w:r w:rsidRPr="00FF2BF5">
              <w:rPr>
                <w:rFonts w:ascii="Arial" w:hAnsi="Arial" w:cs="Arial"/>
                <w:sz w:val="20"/>
                <w:szCs w:val="20"/>
              </w:rPr>
              <w:t>SDG 7: Förderung und Herstellung naturverträglicher, bezahlbarer und regenerativer Energien sowie Wärmekonzepte</w:t>
            </w:r>
          </w:p>
          <w:p w14:paraId="6E40D996" w14:textId="77777777" w:rsidR="00247B8F" w:rsidRPr="00FF2BF5" w:rsidRDefault="00247B8F" w:rsidP="001E1AA9">
            <w:pPr>
              <w:numPr>
                <w:ilvl w:val="0"/>
                <w:numId w:val="2"/>
              </w:numPr>
              <w:suppressAutoHyphens/>
              <w:spacing w:before="100" w:beforeAutospacing="1" w:after="0" w:line="240" w:lineRule="auto"/>
              <w:ind w:left="360"/>
              <w:rPr>
                <w:rFonts w:ascii="Arial" w:hAnsi="Arial" w:cs="Arial"/>
                <w:sz w:val="20"/>
                <w:szCs w:val="20"/>
              </w:rPr>
            </w:pPr>
            <w:r w:rsidRPr="00FF2BF5">
              <w:rPr>
                <w:rFonts w:ascii="Arial" w:hAnsi="Arial" w:cs="Arial"/>
                <w:sz w:val="20"/>
                <w:szCs w:val="20"/>
              </w:rPr>
              <w:t>SDG 11: Förderung von nachhaltigen Städten und Gemeinden</w:t>
            </w:r>
          </w:p>
          <w:p w14:paraId="48E8491A" w14:textId="77777777" w:rsidR="00247B8F" w:rsidRPr="00FF2BF5" w:rsidRDefault="00247B8F" w:rsidP="001E1AA9">
            <w:pPr>
              <w:numPr>
                <w:ilvl w:val="0"/>
                <w:numId w:val="2"/>
              </w:numPr>
              <w:suppressAutoHyphens/>
              <w:spacing w:before="100" w:beforeAutospacing="1" w:after="0" w:line="240" w:lineRule="auto"/>
              <w:ind w:left="360"/>
              <w:rPr>
                <w:rFonts w:ascii="Arial" w:hAnsi="Arial" w:cs="Arial"/>
                <w:sz w:val="20"/>
                <w:szCs w:val="20"/>
              </w:rPr>
            </w:pPr>
            <w:r w:rsidRPr="00FF2BF5">
              <w:rPr>
                <w:rFonts w:ascii="Arial" w:hAnsi="Arial" w:cs="Arial"/>
                <w:sz w:val="20"/>
                <w:szCs w:val="20"/>
              </w:rPr>
              <w:t>SDG 12: Entwicklung, Herstellung oder Vertrieb von langlebigen, ressourcenschonenden oder regionalen Produkten oder Dienstleistungen</w:t>
            </w:r>
          </w:p>
          <w:p w14:paraId="12493CCB" w14:textId="77777777" w:rsidR="00247B8F" w:rsidRPr="00FF2BF5" w:rsidRDefault="00247B8F" w:rsidP="001E1AA9">
            <w:pPr>
              <w:numPr>
                <w:ilvl w:val="0"/>
                <w:numId w:val="2"/>
              </w:numPr>
              <w:suppressAutoHyphens/>
              <w:spacing w:after="0" w:line="240" w:lineRule="auto"/>
              <w:ind w:left="360"/>
              <w:rPr>
                <w:rFonts w:ascii="Arial" w:hAnsi="Arial" w:cs="Arial"/>
                <w:sz w:val="20"/>
                <w:szCs w:val="20"/>
              </w:rPr>
            </w:pPr>
            <w:r w:rsidRPr="00FF2BF5">
              <w:rPr>
                <w:rFonts w:ascii="Arial" w:hAnsi="Arial" w:cs="Arial"/>
                <w:sz w:val="20"/>
                <w:szCs w:val="20"/>
              </w:rPr>
              <w:t>SDG 13: alle Vorhaben zur Förderung von Klimaschutz, z. B. Sanierungen, Ressourcenvermeidung, Energieeinsparung und Emissionsvermeidung</w:t>
            </w:r>
          </w:p>
        </w:tc>
        <w:tc>
          <w:tcPr>
            <w:tcW w:w="3815" w:type="dxa"/>
            <w:shd w:val="clear" w:color="auto" w:fill="auto"/>
          </w:tcPr>
          <w:p w14:paraId="1EAE0320" w14:textId="77777777" w:rsidR="00247B8F" w:rsidRPr="00FF2BF5" w:rsidRDefault="00247B8F" w:rsidP="001E1AA9">
            <w:pPr>
              <w:numPr>
                <w:ilvl w:val="0"/>
                <w:numId w:val="1"/>
              </w:numPr>
              <w:suppressAutoHyphens/>
              <w:spacing w:after="0" w:line="240" w:lineRule="auto"/>
              <w:ind w:left="360"/>
              <w:rPr>
                <w:rFonts w:ascii="Arial" w:hAnsi="Arial" w:cs="Arial"/>
                <w:sz w:val="20"/>
                <w:szCs w:val="20"/>
              </w:rPr>
            </w:pPr>
            <w:r w:rsidRPr="00FF2BF5">
              <w:rPr>
                <w:rFonts w:ascii="Arial" w:hAnsi="Arial" w:cs="Arial"/>
                <w:sz w:val="20"/>
                <w:szCs w:val="20"/>
              </w:rPr>
              <w:t xml:space="preserve">Kreditangebote für Unternehmen, Organisationen, Selbständige und Freiberufler mit bereits bestehendem </w:t>
            </w:r>
            <w:hyperlink r:id="rId25" w:history="1">
              <w:r w:rsidRPr="00FF2BF5">
                <w:rPr>
                  <w:rStyle w:val="Hyperlink"/>
                  <w:rFonts w:ascii="Arial" w:hAnsi="Arial" w:cs="Arial"/>
                  <w:sz w:val="20"/>
                  <w:szCs w:val="20"/>
                </w:rPr>
                <w:t>Geschäftskonto</w:t>
              </w:r>
            </w:hyperlink>
            <w:r w:rsidRPr="00FF2BF5">
              <w:rPr>
                <w:rStyle w:val="Fett"/>
                <w:rFonts w:ascii="Arial" w:hAnsi="Arial" w:cs="Arial"/>
                <w:sz w:val="20"/>
                <w:szCs w:val="20"/>
              </w:rPr>
              <w:t xml:space="preserve"> </w:t>
            </w:r>
            <w:r w:rsidRPr="00FF2BF5">
              <w:rPr>
                <w:rFonts w:ascii="Arial" w:hAnsi="Arial" w:cs="Arial"/>
                <w:sz w:val="20"/>
                <w:szCs w:val="20"/>
              </w:rPr>
              <w:t xml:space="preserve">bei der </w:t>
            </w:r>
            <w:proofErr w:type="spellStart"/>
            <w:r w:rsidRPr="00FF2BF5">
              <w:rPr>
                <w:rFonts w:ascii="Arial" w:hAnsi="Arial" w:cs="Arial"/>
                <w:sz w:val="20"/>
                <w:szCs w:val="20"/>
              </w:rPr>
              <w:t>EthikBank</w:t>
            </w:r>
            <w:proofErr w:type="spellEnd"/>
          </w:p>
          <w:p w14:paraId="14BAB220" w14:textId="77777777" w:rsidR="00247B8F" w:rsidRPr="00FF2BF5" w:rsidRDefault="00247B8F" w:rsidP="001E1AA9">
            <w:pPr>
              <w:numPr>
                <w:ilvl w:val="0"/>
                <w:numId w:val="1"/>
              </w:numPr>
              <w:suppressAutoHyphens/>
              <w:spacing w:after="0" w:line="240" w:lineRule="auto"/>
              <w:ind w:left="360"/>
              <w:rPr>
                <w:rFonts w:ascii="Arial" w:hAnsi="Arial" w:cs="Arial"/>
                <w:sz w:val="20"/>
                <w:szCs w:val="20"/>
              </w:rPr>
            </w:pPr>
            <w:r w:rsidRPr="00FF2BF5">
              <w:rPr>
                <w:rFonts w:ascii="Arial" w:hAnsi="Arial" w:cs="Arial"/>
                <w:sz w:val="20"/>
                <w:szCs w:val="20"/>
              </w:rPr>
              <w:t>Keine Finanzierung von Existenzgründungen</w:t>
            </w:r>
          </w:p>
          <w:p w14:paraId="595044C0" w14:textId="77777777" w:rsidR="00247B8F" w:rsidRPr="00FF2BF5" w:rsidRDefault="00247B8F" w:rsidP="001E1AA9">
            <w:pPr>
              <w:numPr>
                <w:ilvl w:val="0"/>
                <w:numId w:val="1"/>
              </w:numPr>
              <w:suppressAutoHyphens/>
              <w:spacing w:after="0" w:line="240" w:lineRule="auto"/>
              <w:ind w:left="360"/>
              <w:rPr>
                <w:rFonts w:ascii="Arial" w:hAnsi="Arial" w:cs="Arial"/>
                <w:sz w:val="20"/>
                <w:szCs w:val="20"/>
              </w:rPr>
            </w:pPr>
            <w:r w:rsidRPr="00FF2BF5">
              <w:rPr>
                <w:rFonts w:ascii="Arial" w:hAnsi="Arial" w:cs="Arial"/>
                <w:sz w:val="20"/>
                <w:szCs w:val="20"/>
              </w:rPr>
              <w:t>Kreditrahmen 10.000- 500.000,- €</w:t>
            </w:r>
          </w:p>
          <w:p w14:paraId="776A4C65" w14:textId="77777777" w:rsidR="00247B8F" w:rsidRPr="00FF2BF5" w:rsidRDefault="00247B8F" w:rsidP="001E1AA9">
            <w:pPr>
              <w:numPr>
                <w:ilvl w:val="0"/>
                <w:numId w:val="1"/>
              </w:numPr>
              <w:suppressAutoHyphens/>
              <w:spacing w:after="0" w:line="240" w:lineRule="auto"/>
              <w:ind w:left="360"/>
              <w:rPr>
                <w:rFonts w:ascii="Arial" w:hAnsi="Arial" w:cs="Arial"/>
                <w:sz w:val="20"/>
                <w:szCs w:val="20"/>
              </w:rPr>
            </w:pPr>
            <w:r w:rsidRPr="00FF2BF5">
              <w:rPr>
                <w:rFonts w:ascii="Arial" w:hAnsi="Arial" w:cs="Arial"/>
                <w:sz w:val="20"/>
                <w:szCs w:val="20"/>
              </w:rPr>
              <w:t>Laufzeit individuell</w:t>
            </w:r>
          </w:p>
          <w:p w14:paraId="4401A5F1" w14:textId="77777777" w:rsidR="00247B8F" w:rsidRPr="00FF2BF5" w:rsidRDefault="00247B8F" w:rsidP="001E1AA9">
            <w:pPr>
              <w:numPr>
                <w:ilvl w:val="0"/>
                <w:numId w:val="1"/>
              </w:numPr>
              <w:suppressAutoHyphens/>
              <w:spacing w:after="0" w:line="240" w:lineRule="auto"/>
              <w:ind w:left="360"/>
              <w:rPr>
                <w:rFonts w:ascii="Arial" w:hAnsi="Arial" w:cs="Arial"/>
                <w:sz w:val="20"/>
                <w:szCs w:val="20"/>
              </w:rPr>
            </w:pPr>
            <w:r w:rsidRPr="00FF2BF5">
              <w:rPr>
                <w:rFonts w:ascii="Arial" w:hAnsi="Arial" w:cs="Arial"/>
                <w:sz w:val="20"/>
                <w:szCs w:val="20"/>
              </w:rPr>
              <w:t>Auszahlung 100%</w:t>
            </w:r>
          </w:p>
          <w:p w14:paraId="0E47F415" w14:textId="77777777" w:rsidR="00247B8F" w:rsidRPr="00FF2BF5" w:rsidRDefault="00247B8F" w:rsidP="001E1AA9">
            <w:pPr>
              <w:numPr>
                <w:ilvl w:val="0"/>
                <w:numId w:val="1"/>
              </w:numPr>
              <w:suppressAutoHyphens/>
              <w:spacing w:after="0" w:line="240" w:lineRule="auto"/>
              <w:ind w:left="360"/>
              <w:rPr>
                <w:rFonts w:ascii="Arial" w:hAnsi="Arial" w:cs="Arial"/>
                <w:sz w:val="20"/>
                <w:szCs w:val="20"/>
              </w:rPr>
            </w:pPr>
            <w:r w:rsidRPr="00FF2BF5">
              <w:rPr>
                <w:rFonts w:ascii="Arial" w:hAnsi="Arial" w:cs="Arial"/>
                <w:sz w:val="20"/>
                <w:szCs w:val="20"/>
              </w:rPr>
              <w:t>Keine Bearbeitungsgebühr</w:t>
            </w:r>
          </w:p>
          <w:p w14:paraId="796B81D2" w14:textId="77777777" w:rsidR="00247B8F" w:rsidRPr="00FF2BF5" w:rsidRDefault="00247B8F" w:rsidP="001E1AA9">
            <w:pPr>
              <w:numPr>
                <w:ilvl w:val="0"/>
                <w:numId w:val="2"/>
              </w:numPr>
              <w:suppressAutoHyphens/>
              <w:spacing w:after="0" w:line="240" w:lineRule="auto"/>
              <w:ind w:left="360"/>
              <w:rPr>
                <w:rFonts w:ascii="Arial" w:hAnsi="Arial" w:cs="Arial"/>
                <w:sz w:val="20"/>
                <w:szCs w:val="20"/>
              </w:rPr>
            </w:pPr>
            <w:r w:rsidRPr="00FF2BF5">
              <w:rPr>
                <w:rFonts w:ascii="Arial" w:hAnsi="Arial" w:cs="Arial"/>
                <w:sz w:val="20"/>
                <w:szCs w:val="20"/>
              </w:rPr>
              <w:t>Festzins über die gesamte Laufzeit</w:t>
            </w:r>
          </w:p>
        </w:tc>
      </w:tr>
    </w:tbl>
    <w:p w14:paraId="080FC543" w14:textId="77777777" w:rsidR="00247B8F" w:rsidRPr="00E21065" w:rsidRDefault="00247B8F" w:rsidP="00247B8F">
      <w:pPr>
        <w:spacing w:after="0"/>
        <w:rPr>
          <w:rFonts w:ascii="Arial" w:hAnsi="Arial" w:cs="Arial"/>
          <w:sz w:val="20"/>
          <w:szCs w:val="20"/>
        </w:rPr>
      </w:pPr>
    </w:p>
    <w:p w14:paraId="600F61C5" w14:textId="77777777" w:rsidR="00247B8F" w:rsidRPr="00E21065" w:rsidRDefault="00247B8F" w:rsidP="00247B8F">
      <w:pPr>
        <w:spacing w:after="0"/>
        <w:rPr>
          <w:rFonts w:ascii="Arial" w:hAnsi="Arial" w:cs="Arial"/>
          <w:sz w:val="20"/>
          <w:szCs w:val="20"/>
        </w:rPr>
      </w:pPr>
    </w:p>
    <w:p w14:paraId="4926B8E1" w14:textId="77777777" w:rsidR="00247B8F" w:rsidRPr="00E21065" w:rsidRDefault="00247B8F" w:rsidP="00247B8F">
      <w:pPr>
        <w:spacing w:after="0"/>
        <w:rPr>
          <w:rFonts w:ascii="Arial" w:hAnsi="Arial" w:cs="Arial"/>
          <w:sz w:val="20"/>
          <w:szCs w:val="20"/>
        </w:rPr>
      </w:pPr>
    </w:p>
    <w:p w14:paraId="6D8F624F" w14:textId="175AD3A2" w:rsidR="00247B8F" w:rsidRDefault="00247B8F" w:rsidP="00247B8F">
      <w:pPr>
        <w:spacing w:after="0"/>
        <w:rPr>
          <w:rFonts w:ascii="Arial" w:hAnsi="Arial" w:cs="Arial"/>
          <w:sz w:val="20"/>
          <w:szCs w:val="20"/>
        </w:rPr>
      </w:pPr>
    </w:p>
    <w:p w14:paraId="30BB50FC" w14:textId="77777777" w:rsidR="00247B8F" w:rsidRPr="00E21065" w:rsidRDefault="00247B8F" w:rsidP="00247B8F">
      <w:pPr>
        <w:spacing w:after="0"/>
        <w:rPr>
          <w:rFonts w:ascii="Arial" w:hAnsi="Arial" w:cs="Arial"/>
          <w:sz w:val="20"/>
          <w:szCs w:val="20"/>
        </w:rPr>
      </w:pPr>
    </w:p>
    <w:tbl>
      <w:tblPr>
        <w:tblStyle w:val="Tabellenraster"/>
        <w:tblW w:w="14567" w:type="dxa"/>
        <w:tblLook w:val="04A0" w:firstRow="1" w:lastRow="0" w:firstColumn="1" w:lastColumn="0" w:noHBand="0" w:noVBand="1"/>
      </w:tblPr>
      <w:tblGrid>
        <w:gridCol w:w="4219"/>
        <w:gridCol w:w="4394"/>
        <w:gridCol w:w="2410"/>
        <w:gridCol w:w="3544"/>
      </w:tblGrid>
      <w:tr w:rsidR="00247B8F" w:rsidRPr="006F3634" w14:paraId="34F7F4D3" w14:textId="77777777" w:rsidTr="001E1AA9">
        <w:tc>
          <w:tcPr>
            <w:tcW w:w="4219" w:type="dxa"/>
          </w:tcPr>
          <w:p w14:paraId="1D1E96C3" w14:textId="77777777" w:rsidR="00247B8F" w:rsidRPr="006F3634" w:rsidRDefault="00247B8F" w:rsidP="001E1AA9">
            <w:pPr>
              <w:rPr>
                <w:rFonts w:ascii="Arial" w:hAnsi="Arial" w:cs="Arial"/>
                <w:b/>
                <w:bCs/>
                <w:sz w:val="16"/>
                <w:szCs w:val="16"/>
              </w:rPr>
            </w:pPr>
            <w:r w:rsidRPr="006F3634">
              <w:rPr>
                <w:rFonts w:ascii="Arial" w:hAnsi="Arial" w:cs="Arial"/>
                <w:b/>
                <w:bCs/>
                <w:sz w:val="16"/>
                <w:szCs w:val="16"/>
              </w:rPr>
              <w:t>Erstellt von:</w:t>
            </w:r>
          </w:p>
          <w:p w14:paraId="398A67B2" w14:textId="77777777" w:rsidR="00247B8F" w:rsidRPr="006F3634" w:rsidRDefault="00247B8F" w:rsidP="001E1AA9">
            <w:pPr>
              <w:rPr>
                <w:rFonts w:ascii="Arial" w:hAnsi="Arial" w:cs="Arial"/>
                <w:b/>
                <w:bCs/>
                <w:sz w:val="16"/>
                <w:szCs w:val="16"/>
              </w:rPr>
            </w:pPr>
            <w:r w:rsidRPr="006F3634">
              <w:rPr>
                <w:rFonts w:ascii="Arial" w:hAnsi="Arial" w:cs="Arial"/>
                <w:b/>
                <w:bCs/>
                <w:sz w:val="16"/>
                <w:szCs w:val="16"/>
              </w:rPr>
              <w:t>Datum:</w:t>
            </w:r>
          </w:p>
        </w:tc>
        <w:tc>
          <w:tcPr>
            <w:tcW w:w="4394" w:type="dxa"/>
          </w:tcPr>
          <w:p w14:paraId="0DB8DBA1" w14:textId="77777777" w:rsidR="00247B8F" w:rsidRPr="006F3634" w:rsidRDefault="00247B8F" w:rsidP="001E1AA9">
            <w:pPr>
              <w:rPr>
                <w:rFonts w:ascii="Arial" w:hAnsi="Arial" w:cs="Arial"/>
                <w:b/>
                <w:bCs/>
                <w:sz w:val="16"/>
                <w:szCs w:val="16"/>
              </w:rPr>
            </w:pPr>
            <w:r w:rsidRPr="006F3634">
              <w:rPr>
                <w:rFonts w:ascii="Arial" w:hAnsi="Arial" w:cs="Arial"/>
                <w:b/>
                <w:bCs/>
                <w:sz w:val="16"/>
                <w:szCs w:val="16"/>
              </w:rPr>
              <w:t>Geprüft von:</w:t>
            </w:r>
          </w:p>
          <w:p w14:paraId="07CE594D" w14:textId="77777777" w:rsidR="00247B8F" w:rsidRPr="006F3634" w:rsidRDefault="00247B8F" w:rsidP="001E1AA9">
            <w:pPr>
              <w:rPr>
                <w:rFonts w:ascii="Arial" w:hAnsi="Arial" w:cs="Arial"/>
                <w:b/>
                <w:bCs/>
                <w:sz w:val="16"/>
                <w:szCs w:val="16"/>
              </w:rPr>
            </w:pPr>
            <w:r w:rsidRPr="006F3634">
              <w:rPr>
                <w:rFonts w:ascii="Arial" w:hAnsi="Arial" w:cs="Arial"/>
                <w:b/>
                <w:bCs/>
                <w:sz w:val="16"/>
                <w:szCs w:val="16"/>
              </w:rPr>
              <w:t>Datum:</w:t>
            </w:r>
          </w:p>
        </w:tc>
        <w:tc>
          <w:tcPr>
            <w:tcW w:w="2410" w:type="dxa"/>
          </w:tcPr>
          <w:p w14:paraId="1244A017" w14:textId="77777777" w:rsidR="00247B8F" w:rsidRPr="006F3634" w:rsidRDefault="00247B8F" w:rsidP="001E1AA9">
            <w:pPr>
              <w:rPr>
                <w:rFonts w:ascii="Arial" w:hAnsi="Arial" w:cs="Arial"/>
                <w:b/>
                <w:bCs/>
                <w:sz w:val="16"/>
                <w:szCs w:val="16"/>
              </w:rPr>
            </w:pPr>
            <w:r w:rsidRPr="006F3634">
              <w:rPr>
                <w:rFonts w:ascii="Arial" w:hAnsi="Arial" w:cs="Arial"/>
                <w:b/>
                <w:bCs/>
                <w:sz w:val="16"/>
                <w:szCs w:val="16"/>
              </w:rPr>
              <w:t>Version:</w:t>
            </w:r>
          </w:p>
        </w:tc>
        <w:tc>
          <w:tcPr>
            <w:tcW w:w="3544" w:type="dxa"/>
          </w:tcPr>
          <w:p w14:paraId="6DBE3FE9" w14:textId="77777777" w:rsidR="00247B8F" w:rsidRPr="006F3634" w:rsidRDefault="00247B8F" w:rsidP="001E1AA9">
            <w:pPr>
              <w:rPr>
                <w:rFonts w:ascii="Arial" w:hAnsi="Arial" w:cs="Arial"/>
                <w:b/>
                <w:bCs/>
                <w:sz w:val="16"/>
                <w:szCs w:val="16"/>
              </w:rPr>
            </w:pPr>
            <w:r w:rsidRPr="00477F76">
              <w:rPr>
                <w:rFonts w:ascii="Arial" w:hAnsi="Arial" w:cs="Arial"/>
                <w:b/>
                <w:bCs/>
                <w:sz w:val="16"/>
                <w:szCs w:val="16"/>
              </w:rPr>
              <w:t xml:space="preserve">FB </w:t>
            </w:r>
            <w:proofErr w:type="spellStart"/>
            <w:r w:rsidRPr="00477F76">
              <w:rPr>
                <w:rFonts w:ascii="Arial" w:hAnsi="Arial" w:cs="Arial"/>
                <w:b/>
                <w:bCs/>
                <w:sz w:val="16"/>
                <w:szCs w:val="16"/>
              </w:rPr>
              <w:t>Divestment</w:t>
            </w:r>
            <w:proofErr w:type="spellEnd"/>
            <w:r w:rsidRPr="00477F76">
              <w:rPr>
                <w:rFonts w:ascii="Arial" w:hAnsi="Arial" w:cs="Arial"/>
                <w:b/>
                <w:bCs/>
                <w:sz w:val="16"/>
                <w:szCs w:val="16"/>
              </w:rPr>
              <w:t xml:space="preserve"> und Reinvestment</w:t>
            </w:r>
            <w:r w:rsidRPr="006F3634">
              <w:rPr>
                <w:rFonts w:ascii="Arial" w:hAnsi="Arial" w:cs="Arial"/>
                <w:b/>
                <w:bCs/>
                <w:sz w:val="16"/>
                <w:szCs w:val="16"/>
              </w:rPr>
              <w:t>.docx</w:t>
            </w:r>
          </w:p>
          <w:p w14:paraId="36A6B845" w14:textId="77777777" w:rsidR="00247B8F" w:rsidRPr="006F3634" w:rsidRDefault="00247B8F" w:rsidP="001E1AA9">
            <w:pPr>
              <w:rPr>
                <w:rFonts w:ascii="Arial" w:hAnsi="Arial" w:cs="Arial"/>
                <w:b/>
                <w:bCs/>
                <w:sz w:val="16"/>
                <w:szCs w:val="16"/>
              </w:rPr>
            </w:pPr>
            <w:r w:rsidRPr="006F3634">
              <w:rPr>
                <w:rFonts w:ascii="Arial" w:hAnsi="Arial" w:cs="Arial"/>
                <w:b/>
                <w:bCs/>
                <w:sz w:val="16"/>
                <w:szCs w:val="16"/>
              </w:rPr>
              <w:t>Seiten:</w:t>
            </w:r>
            <w:r>
              <w:rPr>
                <w:rFonts w:ascii="Arial" w:hAnsi="Arial" w:cs="Arial"/>
                <w:b/>
                <w:bCs/>
                <w:sz w:val="16"/>
                <w:szCs w:val="16"/>
              </w:rPr>
              <w:t xml:space="preserve"> 2</w:t>
            </w:r>
          </w:p>
        </w:tc>
      </w:tr>
    </w:tbl>
    <w:p w14:paraId="1BF37227" w14:textId="77777777" w:rsidR="00314B5F" w:rsidRPr="006133BD" w:rsidRDefault="00314B5F" w:rsidP="004A30AB">
      <w:pPr>
        <w:spacing w:after="0"/>
        <w:rPr>
          <w:rFonts w:ascii="Arial" w:hAnsi="Arial" w:cs="Arial"/>
          <w:sz w:val="2"/>
          <w:szCs w:val="2"/>
        </w:rPr>
      </w:pPr>
    </w:p>
    <w:sectPr w:rsidR="00314B5F" w:rsidRPr="006133BD" w:rsidSect="00247B8F">
      <w:footerReference w:type="default" r:id="rId26"/>
      <w:pgSz w:w="16838" w:h="11906" w:orient="landscape" w:code="9"/>
      <w:pgMar w:top="567" w:right="1418" w:bottom="993" w:left="1134" w:header="0"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50AE" w14:textId="77777777" w:rsidR="002D2121" w:rsidRDefault="002D2121" w:rsidP="00DB60D4">
      <w:pPr>
        <w:spacing w:after="0" w:line="240" w:lineRule="auto"/>
      </w:pPr>
      <w:r>
        <w:separator/>
      </w:r>
    </w:p>
  </w:endnote>
  <w:endnote w:type="continuationSeparator" w:id="0">
    <w:p w14:paraId="5B8848CF" w14:textId="77777777" w:rsidR="002D2121" w:rsidRDefault="002D2121" w:rsidP="00DB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6600" w14:textId="0A559444" w:rsidR="00DB60D4" w:rsidRPr="005E7F20" w:rsidRDefault="00DB60D4" w:rsidP="00DB60D4">
    <w:pPr>
      <w:pStyle w:val="Fuzeile"/>
      <w:tabs>
        <w:tab w:val="clear" w:pos="4536"/>
      </w:tabs>
      <w:jc w:val="center"/>
      <w:rPr>
        <w:rFonts w:ascii="Arial" w:hAnsi="Arial" w:cs="Arial"/>
        <w:sz w:val="18"/>
        <w:szCs w:val="18"/>
      </w:rPr>
    </w:pPr>
    <w:r w:rsidRPr="005E7F20">
      <w:rPr>
        <w:rFonts w:ascii="Arial" w:hAnsi="Arial" w:cs="Arial"/>
        <w:sz w:val="18"/>
        <w:szCs w:val="18"/>
      </w:rPr>
      <w:t xml:space="preserve">Datum: </w:t>
    </w:r>
    <w:r w:rsidR="00247B8F">
      <w:rPr>
        <w:rFonts w:ascii="Arial" w:hAnsi="Arial" w:cs="Arial"/>
        <w:sz w:val="18"/>
        <w:szCs w:val="18"/>
      </w:rPr>
      <w:t>11</w:t>
    </w:r>
    <w:r w:rsidRPr="005E7F20">
      <w:rPr>
        <w:rFonts w:ascii="Arial" w:hAnsi="Arial" w:cs="Arial"/>
        <w:sz w:val="18"/>
        <w:szCs w:val="18"/>
      </w:rPr>
      <w:t>.</w:t>
    </w:r>
    <w:r w:rsidR="00247B8F">
      <w:rPr>
        <w:rFonts w:ascii="Arial" w:hAnsi="Arial" w:cs="Arial"/>
        <w:sz w:val="18"/>
        <w:szCs w:val="18"/>
      </w:rPr>
      <w:t>03</w:t>
    </w:r>
    <w:r w:rsidRPr="005E7F20">
      <w:rPr>
        <w:rFonts w:ascii="Arial" w:hAnsi="Arial" w:cs="Arial"/>
        <w:sz w:val="18"/>
        <w:szCs w:val="18"/>
      </w:rPr>
      <w:t>.202</w:t>
    </w:r>
    <w:r w:rsidR="00247B8F">
      <w:rPr>
        <w:rFonts w:ascii="Arial" w:hAnsi="Arial" w:cs="Arial"/>
        <w:sz w:val="18"/>
        <w:szCs w:val="18"/>
      </w:rPr>
      <w:t>2</w:t>
    </w:r>
  </w:p>
  <w:p w14:paraId="6DCF20A9" w14:textId="258ADBDB" w:rsidR="00DB60D4" w:rsidRPr="005E7F20" w:rsidRDefault="00DB60D4" w:rsidP="00DB60D4">
    <w:pPr>
      <w:pStyle w:val="Fuzeile"/>
      <w:tabs>
        <w:tab w:val="clear" w:pos="4536"/>
      </w:tabs>
      <w:jc w:val="center"/>
      <w:rPr>
        <w:rFonts w:ascii="Arial" w:hAnsi="Arial" w:cs="Arial"/>
        <w:sz w:val="18"/>
        <w:szCs w:val="18"/>
      </w:rPr>
    </w:pPr>
    <w:r w:rsidRPr="005E7F20">
      <w:rPr>
        <w:rFonts w:ascii="Arial" w:hAnsi="Arial" w:cs="Arial"/>
        <w:sz w:val="18"/>
        <w:szCs w:val="18"/>
      </w:rPr>
      <w:t>© Arbeits</w:t>
    </w:r>
    <w:r w:rsidR="008513F1" w:rsidRPr="005E7F20">
      <w:rPr>
        <w:rFonts w:ascii="Arial" w:hAnsi="Arial" w:cs="Arial"/>
        <w:sz w:val="18"/>
        <w:szCs w:val="18"/>
      </w:rPr>
      <w:t xml:space="preserve">gemeinschaft </w:t>
    </w:r>
    <w:r w:rsidRPr="005E7F20">
      <w:rPr>
        <w:rFonts w:ascii="Arial" w:hAnsi="Arial" w:cs="Arial"/>
        <w:sz w:val="18"/>
        <w:szCs w:val="18"/>
      </w:rPr>
      <w:t>Nachhaltigkeit in der Dermatologie (</w:t>
    </w:r>
    <w:r w:rsidR="008513F1" w:rsidRPr="005E7F20">
      <w:rPr>
        <w:rFonts w:ascii="Arial" w:hAnsi="Arial" w:cs="Arial"/>
        <w:sz w:val="18"/>
        <w:szCs w:val="18"/>
      </w:rPr>
      <w:t>AGN</w:t>
    </w:r>
    <w:r w:rsidRPr="005E7F20">
      <w:rPr>
        <w:rFonts w:ascii="Arial" w:hAnsi="Arial" w:cs="Arial"/>
        <w:sz w:val="18"/>
        <w:szCs w:val="18"/>
      </w:rPr>
      <w:t>)</w:t>
    </w:r>
    <w:r w:rsidR="008513F1" w:rsidRPr="005E7F20">
      <w:rPr>
        <w:rFonts w:ascii="Arial" w:hAnsi="Arial" w:cs="Arial"/>
        <w:sz w:val="18"/>
        <w:szCs w:val="18"/>
      </w:rPr>
      <w:t xml:space="preserve"> e.V.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1F43" w14:textId="77777777" w:rsidR="002D2121" w:rsidRDefault="002D2121" w:rsidP="00DB60D4">
      <w:pPr>
        <w:spacing w:after="0" w:line="240" w:lineRule="auto"/>
      </w:pPr>
      <w:r>
        <w:separator/>
      </w:r>
    </w:p>
  </w:footnote>
  <w:footnote w:type="continuationSeparator" w:id="0">
    <w:p w14:paraId="060CF50B" w14:textId="77777777" w:rsidR="002D2121" w:rsidRDefault="002D2121" w:rsidP="00DB6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A0088"/>
    <w:multiLevelType w:val="hybridMultilevel"/>
    <w:tmpl w:val="64E86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E25F16"/>
    <w:multiLevelType w:val="hybridMultilevel"/>
    <w:tmpl w:val="615A3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6656775">
    <w:abstractNumId w:val="1"/>
  </w:num>
  <w:num w:numId="2" w16cid:durableId="94214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BC"/>
    <w:rsid w:val="00011F84"/>
    <w:rsid w:val="00016F64"/>
    <w:rsid w:val="000179C9"/>
    <w:rsid w:val="000204D4"/>
    <w:rsid w:val="00020D76"/>
    <w:rsid w:val="00023E0C"/>
    <w:rsid w:val="0002413E"/>
    <w:rsid w:val="00025C64"/>
    <w:rsid w:val="00031B79"/>
    <w:rsid w:val="00042984"/>
    <w:rsid w:val="00042B0C"/>
    <w:rsid w:val="000432EF"/>
    <w:rsid w:val="00044328"/>
    <w:rsid w:val="00051ADD"/>
    <w:rsid w:val="00056155"/>
    <w:rsid w:val="00061EA7"/>
    <w:rsid w:val="00062D3F"/>
    <w:rsid w:val="000719B1"/>
    <w:rsid w:val="00071DB5"/>
    <w:rsid w:val="00072FD9"/>
    <w:rsid w:val="00073280"/>
    <w:rsid w:val="00076758"/>
    <w:rsid w:val="00077132"/>
    <w:rsid w:val="00083B28"/>
    <w:rsid w:val="00086830"/>
    <w:rsid w:val="00092D37"/>
    <w:rsid w:val="00093515"/>
    <w:rsid w:val="00095CC4"/>
    <w:rsid w:val="000A17B9"/>
    <w:rsid w:val="000A3554"/>
    <w:rsid w:val="000A4F52"/>
    <w:rsid w:val="000B3295"/>
    <w:rsid w:val="000B538D"/>
    <w:rsid w:val="000D0617"/>
    <w:rsid w:val="000D242F"/>
    <w:rsid w:val="000D2CAF"/>
    <w:rsid w:val="000D2E0C"/>
    <w:rsid w:val="000D6700"/>
    <w:rsid w:val="000D7012"/>
    <w:rsid w:val="000E3D80"/>
    <w:rsid w:val="000E52FB"/>
    <w:rsid w:val="000E63E1"/>
    <w:rsid w:val="000F49CF"/>
    <w:rsid w:val="00100EEA"/>
    <w:rsid w:val="00105822"/>
    <w:rsid w:val="00105D77"/>
    <w:rsid w:val="001069B8"/>
    <w:rsid w:val="0012113C"/>
    <w:rsid w:val="00124327"/>
    <w:rsid w:val="00124573"/>
    <w:rsid w:val="00124DB3"/>
    <w:rsid w:val="00125439"/>
    <w:rsid w:val="0012786B"/>
    <w:rsid w:val="00131D76"/>
    <w:rsid w:val="0013616D"/>
    <w:rsid w:val="00136B7A"/>
    <w:rsid w:val="0014573B"/>
    <w:rsid w:val="00146E15"/>
    <w:rsid w:val="0015311D"/>
    <w:rsid w:val="00153E04"/>
    <w:rsid w:val="00154EDD"/>
    <w:rsid w:val="00157D9C"/>
    <w:rsid w:val="00162E73"/>
    <w:rsid w:val="001635B8"/>
    <w:rsid w:val="00163EAF"/>
    <w:rsid w:val="0016581C"/>
    <w:rsid w:val="00165D8C"/>
    <w:rsid w:val="0016625F"/>
    <w:rsid w:val="00170D41"/>
    <w:rsid w:val="00172BA3"/>
    <w:rsid w:val="0017365A"/>
    <w:rsid w:val="00177517"/>
    <w:rsid w:val="00183759"/>
    <w:rsid w:val="001900CF"/>
    <w:rsid w:val="0019683B"/>
    <w:rsid w:val="001B07D7"/>
    <w:rsid w:val="001B4277"/>
    <w:rsid w:val="001B7464"/>
    <w:rsid w:val="001D0818"/>
    <w:rsid w:val="001D47DC"/>
    <w:rsid w:val="001F0EC6"/>
    <w:rsid w:val="001F18A5"/>
    <w:rsid w:val="001F18EE"/>
    <w:rsid w:val="001F48F8"/>
    <w:rsid w:val="001F72D5"/>
    <w:rsid w:val="001F780B"/>
    <w:rsid w:val="00205D0D"/>
    <w:rsid w:val="00206471"/>
    <w:rsid w:val="002158EC"/>
    <w:rsid w:val="002261C5"/>
    <w:rsid w:val="00235B60"/>
    <w:rsid w:val="00242A81"/>
    <w:rsid w:val="00247B8F"/>
    <w:rsid w:val="00253576"/>
    <w:rsid w:val="0025590B"/>
    <w:rsid w:val="00255B11"/>
    <w:rsid w:val="0025690E"/>
    <w:rsid w:val="00257EDF"/>
    <w:rsid w:val="00260AB1"/>
    <w:rsid w:val="00262FDA"/>
    <w:rsid w:val="0026428C"/>
    <w:rsid w:val="002708BB"/>
    <w:rsid w:val="00273FD6"/>
    <w:rsid w:val="00276DC8"/>
    <w:rsid w:val="00280B4B"/>
    <w:rsid w:val="002870E9"/>
    <w:rsid w:val="00290329"/>
    <w:rsid w:val="00294A7D"/>
    <w:rsid w:val="00295141"/>
    <w:rsid w:val="002A1C42"/>
    <w:rsid w:val="002A2DC0"/>
    <w:rsid w:val="002B29CD"/>
    <w:rsid w:val="002B3352"/>
    <w:rsid w:val="002B5C77"/>
    <w:rsid w:val="002B60ED"/>
    <w:rsid w:val="002C125B"/>
    <w:rsid w:val="002C55FB"/>
    <w:rsid w:val="002C7080"/>
    <w:rsid w:val="002D1C27"/>
    <w:rsid w:val="002D2121"/>
    <w:rsid w:val="002D25C3"/>
    <w:rsid w:val="002D49FD"/>
    <w:rsid w:val="002D7D78"/>
    <w:rsid w:val="002E126D"/>
    <w:rsid w:val="002E5A0E"/>
    <w:rsid w:val="002E6578"/>
    <w:rsid w:val="002E7A59"/>
    <w:rsid w:val="002F016B"/>
    <w:rsid w:val="002F24B9"/>
    <w:rsid w:val="002F2678"/>
    <w:rsid w:val="002F571C"/>
    <w:rsid w:val="002F5C06"/>
    <w:rsid w:val="00301F42"/>
    <w:rsid w:val="003059F4"/>
    <w:rsid w:val="00310B5A"/>
    <w:rsid w:val="0031180B"/>
    <w:rsid w:val="00314B5F"/>
    <w:rsid w:val="00332DB5"/>
    <w:rsid w:val="0033307B"/>
    <w:rsid w:val="00334FA0"/>
    <w:rsid w:val="00340EF7"/>
    <w:rsid w:val="003417AD"/>
    <w:rsid w:val="00342784"/>
    <w:rsid w:val="00347393"/>
    <w:rsid w:val="0035440B"/>
    <w:rsid w:val="00367D1C"/>
    <w:rsid w:val="00373418"/>
    <w:rsid w:val="0037511E"/>
    <w:rsid w:val="00375576"/>
    <w:rsid w:val="00381793"/>
    <w:rsid w:val="0038352F"/>
    <w:rsid w:val="003843C4"/>
    <w:rsid w:val="0039235F"/>
    <w:rsid w:val="0039587D"/>
    <w:rsid w:val="00397441"/>
    <w:rsid w:val="00397900"/>
    <w:rsid w:val="003A086B"/>
    <w:rsid w:val="003A4ECD"/>
    <w:rsid w:val="003A73D5"/>
    <w:rsid w:val="003B3500"/>
    <w:rsid w:val="003B44F0"/>
    <w:rsid w:val="003B576B"/>
    <w:rsid w:val="003B5BD8"/>
    <w:rsid w:val="003C0558"/>
    <w:rsid w:val="003D462B"/>
    <w:rsid w:val="003D7C91"/>
    <w:rsid w:val="003E33CE"/>
    <w:rsid w:val="003E48EB"/>
    <w:rsid w:val="003E5FD7"/>
    <w:rsid w:val="00401755"/>
    <w:rsid w:val="00402749"/>
    <w:rsid w:val="00406E01"/>
    <w:rsid w:val="00411D12"/>
    <w:rsid w:val="00416199"/>
    <w:rsid w:val="00417E26"/>
    <w:rsid w:val="00421B62"/>
    <w:rsid w:val="00424700"/>
    <w:rsid w:val="00427D99"/>
    <w:rsid w:val="004332DD"/>
    <w:rsid w:val="004411E7"/>
    <w:rsid w:val="004472A1"/>
    <w:rsid w:val="00450358"/>
    <w:rsid w:val="00453FC8"/>
    <w:rsid w:val="00465F59"/>
    <w:rsid w:val="00471AA0"/>
    <w:rsid w:val="004728E0"/>
    <w:rsid w:val="00475513"/>
    <w:rsid w:val="0047648E"/>
    <w:rsid w:val="00486614"/>
    <w:rsid w:val="00490F5A"/>
    <w:rsid w:val="00494651"/>
    <w:rsid w:val="00495FE7"/>
    <w:rsid w:val="0049706B"/>
    <w:rsid w:val="004A0497"/>
    <w:rsid w:val="004A30AB"/>
    <w:rsid w:val="004A7A01"/>
    <w:rsid w:val="004B3623"/>
    <w:rsid w:val="004C30E1"/>
    <w:rsid w:val="004C72C7"/>
    <w:rsid w:val="004D0EE5"/>
    <w:rsid w:val="004D445D"/>
    <w:rsid w:val="004E3179"/>
    <w:rsid w:val="004E4E9B"/>
    <w:rsid w:val="004E5C33"/>
    <w:rsid w:val="004F2521"/>
    <w:rsid w:val="004F7ABA"/>
    <w:rsid w:val="005024BE"/>
    <w:rsid w:val="005066F1"/>
    <w:rsid w:val="00510E43"/>
    <w:rsid w:val="00515867"/>
    <w:rsid w:val="00516589"/>
    <w:rsid w:val="00516DBE"/>
    <w:rsid w:val="00517A96"/>
    <w:rsid w:val="005234BF"/>
    <w:rsid w:val="00523CD7"/>
    <w:rsid w:val="00524115"/>
    <w:rsid w:val="00526446"/>
    <w:rsid w:val="00532A44"/>
    <w:rsid w:val="00534184"/>
    <w:rsid w:val="00541A2D"/>
    <w:rsid w:val="0054361D"/>
    <w:rsid w:val="00552BEB"/>
    <w:rsid w:val="00552F66"/>
    <w:rsid w:val="005547BD"/>
    <w:rsid w:val="00555233"/>
    <w:rsid w:val="00555976"/>
    <w:rsid w:val="005565EB"/>
    <w:rsid w:val="00561C68"/>
    <w:rsid w:val="0056616D"/>
    <w:rsid w:val="005776AB"/>
    <w:rsid w:val="00577741"/>
    <w:rsid w:val="00577DCF"/>
    <w:rsid w:val="005829F5"/>
    <w:rsid w:val="005836BC"/>
    <w:rsid w:val="005862B7"/>
    <w:rsid w:val="00590AD4"/>
    <w:rsid w:val="005A4049"/>
    <w:rsid w:val="005A5D2A"/>
    <w:rsid w:val="005A753C"/>
    <w:rsid w:val="005B06BC"/>
    <w:rsid w:val="005D12AC"/>
    <w:rsid w:val="005D1AF6"/>
    <w:rsid w:val="005D35CD"/>
    <w:rsid w:val="005D4138"/>
    <w:rsid w:val="005D6722"/>
    <w:rsid w:val="005E39D4"/>
    <w:rsid w:val="005E7A69"/>
    <w:rsid w:val="005E7F20"/>
    <w:rsid w:val="005F6B7C"/>
    <w:rsid w:val="00601175"/>
    <w:rsid w:val="00603B71"/>
    <w:rsid w:val="00606C2D"/>
    <w:rsid w:val="006133BD"/>
    <w:rsid w:val="00615B17"/>
    <w:rsid w:val="00615F36"/>
    <w:rsid w:val="006166A1"/>
    <w:rsid w:val="006206C1"/>
    <w:rsid w:val="00623841"/>
    <w:rsid w:val="006238E0"/>
    <w:rsid w:val="006306E9"/>
    <w:rsid w:val="00641702"/>
    <w:rsid w:val="0064254A"/>
    <w:rsid w:val="00642C8E"/>
    <w:rsid w:val="00650B64"/>
    <w:rsid w:val="00661C64"/>
    <w:rsid w:val="00662FC4"/>
    <w:rsid w:val="00664F18"/>
    <w:rsid w:val="00666230"/>
    <w:rsid w:val="00671FC0"/>
    <w:rsid w:val="006729AE"/>
    <w:rsid w:val="006738E7"/>
    <w:rsid w:val="00673C48"/>
    <w:rsid w:val="006771FB"/>
    <w:rsid w:val="00680C69"/>
    <w:rsid w:val="00680F7B"/>
    <w:rsid w:val="006825ED"/>
    <w:rsid w:val="00684E00"/>
    <w:rsid w:val="00693AEC"/>
    <w:rsid w:val="006B34B0"/>
    <w:rsid w:val="006C13EF"/>
    <w:rsid w:val="006C3805"/>
    <w:rsid w:val="006C5C2B"/>
    <w:rsid w:val="006C69D1"/>
    <w:rsid w:val="006C6CA2"/>
    <w:rsid w:val="006D1CCB"/>
    <w:rsid w:val="006D4B3D"/>
    <w:rsid w:val="006D5297"/>
    <w:rsid w:val="006D6C7E"/>
    <w:rsid w:val="006E1EEB"/>
    <w:rsid w:val="006E54E6"/>
    <w:rsid w:val="006F1389"/>
    <w:rsid w:val="00700D32"/>
    <w:rsid w:val="00703739"/>
    <w:rsid w:val="00703976"/>
    <w:rsid w:val="007106C9"/>
    <w:rsid w:val="0071275D"/>
    <w:rsid w:val="00715E16"/>
    <w:rsid w:val="00716506"/>
    <w:rsid w:val="0072348F"/>
    <w:rsid w:val="007272C4"/>
    <w:rsid w:val="00731B42"/>
    <w:rsid w:val="007327D1"/>
    <w:rsid w:val="007459FE"/>
    <w:rsid w:val="00745BEF"/>
    <w:rsid w:val="007510BE"/>
    <w:rsid w:val="00772AC8"/>
    <w:rsid w:val="00775949"/>
    <w:rsid w:val="0078374D"/>
    <w:rsid w:val="007848E2"/>
    <w:rsid w:val="0079024F"/>
    <w:rsid w:val="00792C32"/>
    <w:rsid w:val="007969F1"/>
    <w:rsid w:val="007A1C19"/>
    <w:rsid w:val="007A5E5B"/>
    <w:rsid w:val="007A60A8"/>
    <w:rsid w:val="007A63B9"/>
    <w:rsid w:val="007A6B25"/>
    <w:rsid w:val="007A6FFC"/>
    <w:rsid w:val="007B412E"/>
    <w:rsid w:val="007B4393"/>
    <w:rsid w:val="007B4A6A"/>
    <w:rsid w:val="007C456A"/>
    <w:rsid w:val="007C6690"/>
    <w:rsid w:val="007D2F05"/>
    <w:rsid w:val="007D5FB6"/>
    <w:rsid w:val="007D7252"/>
    <w:rsid w:val="007E263B"/>
    <w:rsid w:val="007E5BC0"/>
    <w:rsid w:val="007F47CA"/>
    <w:rsid w:val="007F63DF"/>
    <w:rsid w:val="007F77C6"/>
    <w:rsid w:val="008002FB"/>
    <w:rsid w:val="008005AB"/>
    <w:rsid w:val="008073E0"/>
    <w:rsid w:val="00822C7B"/>
    <w:rsid w:val="00832AFE"/>
    <w:rsid w:val="00832ED0"/>
    <w:rsid w:val="008354B8"/>
    <w:rsid w:val="00841788"/>
    <w:rsid w:val="008427E5"/>
    <w:rsid w:val="008436D4"/>
    <w:rsid w:val="00844D3A"/>
    <w:rsid w:val="008513F1"/>
    <w:rsid w:val="00853F6D"/>
    <w:rsid w:val="008555D5"/>
    <w:rsid w:val="00861016"/>
    <w:rsid w:val="00862079"/>
    <w:rsid w:val="0086688F"/>
    <w:rsid w:val="00867D56"/>
    <w:rsid w:val="00871FFA"/>
    <w:rsid w:val="00873440"/>
    <w:rsid w:val="00873D21"/>
    <w:rsid w:val="0087447E"/>
    <w:rsid w:val="0087505F"/>
    <w:rsid w:val="00877CB4"/>
    <w:rsid w:val="008836F8"/>
    <w:rsid w:val="008838A2"/>
    <w:rsid w:val="00884ED4"/>
    <w:rsid w:val="00887CDD"/>
    <w:rsid w:val="00894311"/>
    <w:rsid w:val="00894D31"/>
    <w:rsid w:val="008A6553"/>
    <w:rsid w:val="008B00A5"/>
    <w:rsid w:val="008B03EC"/>
    <w:rsid w:val="008C70E1"/>
    <w:rsid w:val="008D16E9"/>
    <w:rsid w:val="008D257D"/>
    <w:rsid w:val="008D60B7"/>
    <w:rsid w:val="008E0C47"/>
    <w:rsid w:val="008E1F88"/>
    <w:rsid w:val="008E3B56"/>
    <w:rsid w:val="008F44D4"/>
    <w:rsid w:val="008F48C4"/>
    <w:rsid w:val="008F7F5D"/>
    <w:rsid w:val="00901BFF"/>
    <w:rsid w:val="0090311A"/>
    <w:rsid w:val="00903684"/>
    <w:rsid w:val="00904B7F"/>
    <w:rsid w:val="00906F0C"/>
    <w:rsid w:val="00906F36"/>
    <w:rsid w:val="00920A00"/>
    <w:rsid w:val="009323B6"/>
    <w:rsid w:val="0093480A"/>
    <w:rsid w:val="00934F03"/>
    <w:rsid w:val="00940B83"/>
    <w:rsid w:val="00944D2B"/>
    <w:rsid w:val="00944FB4"/>
    <w:rsid w:val="00955DA1"/>
    <w:rsid w:val="009607E6"/>
    <w:rsid w:val="009661FA"/>
    <w:rsid w:val="00972153"/>
    <w:rsid w:val="00972A3D"/>
    <w:rsid w:val="00976544"/>
    <w:rsid w:val="00982F5D"/>
    <w:rsid w:val="00983D69"/>
    <w:rsid w:val="0098496E"/>
    <w:rsid w:val="00984D47"/>
    <w:rsid w:val="0099084F"/>
    <w:rsid w:val="00991A3E"/>
    <w:rsid w:val="009A030C"/>
    <w:rsid w:val="009A4907"/>
    <w:rsid w:val="009A4D62"/>
    <w:rsid w:val="009C4BA4"/>
    <w:rsid w:val="009C7ED2"/>
    <w:rsid w:val="009D71DD"/>
    <w:rsid w:val="009E79E2"/>
    <w:rsid w:val="009F14FC"/>
    <w:rsid w:val="009F41C9"/>
    <w:rsid w:val="009F71DD"/>
    <w:rsid w:val="00A0719C"/>
    <w:rsid w:val="00A21BBC"/>
    <w:rsid w:val="00A24148"/>
    <w:rsid w:val="00A25D23"/>
    <w:rsid w:val="00A26484"/>
    <w:rsid w:val="00A2692F"/>
    <w:rsid w:val="00A26AF0"/>
    <w:rsid w:val="00A31CA7"/>
    <w:rsid w:val="00A32AC5"/>
    <w:rsid w:val="00A3658B"/>
    <w:rsid w:val="00A379DD"/>
    <w:rsid w:val="00A42B71"/>
    <w:rsid w:val="00A43276"/>
    <w:rsid w:val="00A432AA"/>
    <w:rsid w:val="00A440E7"/>
    <w:rsid w:val="00A5124F"/>
    <w:rsid w:val="00A52934"/>
    <w:rsid w:val="00A54333"/>
    <w:rsid w:val="00A61DDE"/>
    <w:rsid w:val="00A626E6"/>
    <w:rsid w:val="00A6518F"/>
    <w:rsid w:val="00A725C3"/>
    <w:rsid w:val="00A7335F"/>
    <w:rsid w:val="00A7685E"/>
    <w:rsid w:val="00A83B1B"/>
    <w:rsid w:val="00A91173"/>
    <w:rsid w:val="00A93016"/>
    <w:rsid w:val="00AA150B"/>
    <w:rsid w:val="00AB1238"/>
    <w:rsid w:val="00AB2116"/>
    <w:rsid w:val="00AC756D"/>
    <w:rsid w:val="00AD63C6"/>
    <w:rsid w:val="00AE2A6D"/>
    <w:rsid w:val="00AE3827"/>
    <w:rsid w:val="00AE5B4F"/>
    <w:rsid w:val="00AF5B38"/>
    <w:rsid w:val="00AF66DF"/>
    <w:rsid w:val="00B25576"/>
    <w:rsid w:val="00B26A32"/>
    <w:rsid w:val="00B30FDE"/>
    <w:rsid w:val="00B31A4B"/>
    <w:rsid w:val="00B43232"/>
    <w:rsid w:val="00B5155C"/>
    <w:rsid w:val="00B530BE"/>
    <w:rsid w:val="00B61EF3"/>
    <w:rsid w:val="00B63670"/>
    <w:rsid w:val="00B6388D"/>
    <w:rsid w:val="00B71969"/>
    <w:rsid w:val="00B73333"/>
    <w:rsid w:val="00B73E92"/>
    <w:rsid w:val="00B75176"/>
    <w:rsid w:val="00B76842"/>
    <w:rsid w:val="00B77530"/>
    <w:rsid w:val="00B8487C"/>
    <w:rsid w:val="00B86E3A"/>
    <w:rsid w:val="00BA245C"/>
    <w:rsid w:val="00BA3470"/>
    <w:rsid w:val="00BA65D4"/>
    <w:rsid w:val="00BA793C"/>
    <w:rsid w:val="00BB3B98"/>
    <w:rsid w:val="00BB4F74"/>
    <w:rsid w:val="00BB6E21"/>
    <w:rsid w:val="00BC3F68"/>
    <w:rsid w:val="00BC4995"/>
    <w:rsid w:val="00BC50B8"/>
    <w:rsid w:val="00BC70A1"/>
    <w:rsid w:val="00BC76BC"/>
    <w:rsid w:val="00BD3AE3"/>
    <w:rsid w:val="00BD4ADB"/>
    <w:rsid w:val="00BD51CC"/>
    <w:rsid w:val="00BD5D3B"/>
    <w:rsid w:val="00BE03A1"/>
    <w:rsid w:val="00BE188B"/>
    <w:rsid w:val="00BE3FB2"/>
    <w:rsid w:val="00BF22FD"/>
    <w:rsid w:val="00BF2A4B"/>
    <w:rsid w:val="00BF6EDB"/>
    <w:rsid w:val="00C0534A"/>
    <w:rsid w:val="00C170F4"/>
    <w:rsid w:val="00C30B59"/>
    <w:rsid w:val="00C323D2"/>
    <w:rsid w:val="00C379C8"/>
    <w:rsid w:val="00C571DD"/>
    <w:rsid w:val="00C61A9A"/>
    <w:rsid w:val="00C65CD3"/>
    <w:rsid w:val="00C66524"/>
    <w:rsid w:val="00C70BA6"/>
    <w:rsid w:val="00C74F0A"/>
    <w:rsid w:val="00C77CF9"/>
    <w:rsid w:val="00C86F9B"/>
    <w:rsid w:val="00C93D12"/>
    <w:rsid w:val="00C9748F"/>
    <w:rsid w:val="00C97502"/>
    <w:rsid w:val="00CA17DF"/>
    <w:rsid w:val="00CA3B1E"/>
    <w:rsid w:val="00CA5AA3"/>
    <w:rsid w:val="00CA7758"/>
    <w:rsid w:val="00CB28DD"/>
    <w:rsid w:val="00CB3592"/>
    <w:rsid w:val="00CC1FD4"/>
    <w:rsid w:val="00CC20E1"/>
    <w:rsid w:val="00CC41CF"/>
    <w:rsid w:val="00CD111E"/>
    <w:rsid w:val="00CD654C"/>
    <w:rsid w:val="00CE7258"/>
    <w:rsid w:val="00CE7F76"/>
    <w:rsid w:val="00CF048F"/>
    <w:rsid w:val="00CF116A"/>
    <w:rsid w:val="00CF4F7D"/>
    <w:rsid w:val="00D04871"/>
    <w:rsid w:val="00D05937"/>
    <w:rsid w:val="00D11972"/>
    <w:rsid w:val="00D138B5"/>
    <w:rsid w:val="00D224B0"/>
    <w:rsid w:val="00D23820"/>
    <w:rsid w:val="00D24B78"/>
    <w:rsid w:val="00D256C7"/>
    <w:rsid w:val="00D32A13"/>
    <w:rsid w:val="00D33680"/>
    <w:rsid w:val="00D40062"/>
    <w:rsid w:val="00D50192"/>
    <w:rsid w:val="00D557A8"/>
    <w:rsid w:val="00D565AD"/>
    <w:rsid w:val="00D61EA9"/>
    <w:rsid w:val="00D74540"/>
    <w:rsid w:val="00D84197"/>
    <w:rsid w:val="00D84633"/>
    <w:rsid w:val="00D8532B"/>
    <w:rsid w:val="00D857E9"/>
    <w:rsid w:val="00D932D1"/>
    <w:rsid w:val="00DB3302"/>
    <w:rsid w:val="00DB60D4"/>
    <w:rsid w:val="00DB7C02"/>
    <w:rsid w:val="00DC1EEC"/>
    <w:rsid w:val="00DC209E"/>
    <w:rsid w:val="00DC5431"/>
    <w:rsid w:val="00DD4170"/>
    <w:rsid w:val="00DD43B0"/>
    <w:rsid w:val="00DD64D4"/>
    <w:rsid w:val="00DD72B0"/>
    <w:rsid w:val="00DE19C9"/>
    <w:rsid w:val="00DE3E0C"/>
    <w:rsid w:val="00DF0A53"/>
    <w:rsid w:val="00DF105E"/>
    <w:rsid w:val="00DF4E19"/>
    <w:rsid w:val="00E02D41"/>
    <w:rsid w:val="00E1213D"/>
    <w:rsid w:val="00E17BE0"/>
    <w:rsid w:val="00E40C3C"/>
    <w:rsid w:val="00E43BF5"/>
    <w:rsid w:val="00E5438A"/>
    <w:rsid w:val="00E57DB5"/>
    <w:rsid w:val="00E7421E"/>
    <w:rsid w:val="00E81E25"/>
    <w:rsid w:val="00E839DA"/>
    <w:rsid w:val="00E8404C"/>
    <w:rsid w:val="00E915F7"/>
    <w:rsid w:val="00E935A4"/>
    <w:rsid w:val="00E9771B"/>
    <w:rsid w:val="00EA512D"/>
    <w:rsid w:val="00EA7508"/>
    <w:rsid w:val="00EB0437"/>
    <w:rsid w:val="00EB148F"/>
    <w:rsid w:val="00EB4CF4"/>
    <w:rsid w:val="00EB7A0A"/>
    <w:rsid w:val="00EC0498"/>
    <w:rsid w:val="00EC30AE"/>
    <w:rsid w:val="00EC676A"/>
    <w:rsid w:val="00ED103C"/>
    <w:rsid w:val="00ED143A"/>
    <w:rsid w:val="00ED52BC"/>
    <w:rsid w:val="00ED5B05"/>
    <w:rsid w:val="00EE14E2"/>
    <w:rsid w:val="00EE723C"/>
    <w:rsid w:val="00EF083F"/>
    <w:rsid w:val="00F046FA"/>
    <w:rsid w:val="00F06155"/>
    <w:rsid w:val="00F06880"/>
    <w:rsid w:val="00F114F2"/>
    <w:rsid w:val="00F20F82"/>
    <w:rsid w:val="00F22647"/>
    <w:rsid w:val="00F257E4"/>
    <w:rsid w:val="00F26A91"/>
    <w:rsid w:val="00F27A0E"/>
    <w:rsid w:val="00F317F1"/>
    <w:rsid w:val="00F31B68"/>
    <w:rsid w:val="00F33668"/>
    <w:rsid w:val="00F34A79"/>
    <w:rsid w:val="00F40546"/>
    <w:rsid w:val="00F41BBC"/>
    <w:rsid w:val="00F4253D"/>
    <w:rsid w:val="00F42E52"/>
    <w:rsid w:val="00F44FF1"/>
    <w:rsid w:val="00F52645"/>
    <w:rsid w:val="00F56198"/>
    <w:rsid w:val="00F57D35"/>
    <w:rsid w:val="00F6594A"/>
    <w:rsid w:val="00F70167"/>
    <w:rsid w:val="00F70ED0"/>
    <w:rsid w:val="00F74915"/>
    <w:rsid w:val="00F82AA4"/>
    <w:rsid w:val="00F879BC"/>
    <w:rsid w:val="00F9117D"/>
    <w:rsid w:val="00F91E99"/>
    <w:rsid w:val="00F924F2"/>
    <w:rsid w:val="00F93DE0"/>
    <w:rsid w:val="00F96828"/>
    <w:rsid w:val="00FA52A3"/>
    <w:rsid w:val="00FA6BE6"/>
    <w:rsid w:val="00FB6864"/>
    <w:rsid w:val="00FB7699"/>
    <w:rsid w:val="00FB76C2"/>
    <w:rsid w:val="00FC0D57"/>
    <w:rsid w:val="00FD1698"/>
    <w:rsid w:val="00FD1C02"/>
    <w:rsid w:val="00FD4A96"/>
    <w:rsid w:val="00FD7AD8"/>
    <w:rsid w:val="00FE08CA"/>
    <w:rsid w:val="00FE5285"/>
    <w:rsid w:val="00FE57FB"/>
    <w:rsid w:val="00FE71BA"/>
    <w:rsid w:val="00FF14FC"/>
    <w:rsid w:val="00FF3271"/>
    <w:rsid w:val="00FF3E3E"/>
    <w:rsid w:val="00FF4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E56BE"/>
  <w15:docId w15:val="{5C3FE008-D610-4A4D-B6F4-AF0E32A1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34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21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DB60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60D4"/>
  </w:style>
  <w:style w:type="paragraph" w:styleId="Fuzeile">
    <w:name w:val="footer"/>
    <w:basedOn w:val="Standard"/>
    <w:link w:val="FuzeileZchn"/>
    <w:uiPriority w:val="99"/>
    <w:unhideWhenUsed/>
    <w:rsid w:val="00DB60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60D4"/>
  </w:style>
  <w:style w:type="character" w:styleId="Hyperlink">
    <w:name w:val="Hyperlink"/>
    <w:uiPriority w:val="99"/>
    <w:unhideWhenUsed/>
    <w:rsid w:val="00247B8F"/>
    <w:rPr>
      <w:color w:val="0000FF"/>
      <w:u w:val="single"/>
    </w:rPr>
  </w:style>
  <w:style w:type="paragraph" w:customStyle="1" w:styleId="bodytext">
    <w:name w:val="bodytext"/>
    <w:basedOn w:val="Standard"/>
    <w:rsid w:val="00247B8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uiPriority w:val="22"/>
    <w:qFormat/>
    <w:rsid w:val="00247B8F"/>
    <w:rPr>
      <w:b/>
      <w:bCs/>
    </w:rPr>
  </w:style>
  <w:style w:type="paragraph" w:styleId="StandardWeb">
    <w:name w:val="Normal (Web)"/>
    <w:basedOn w:val="Standard"/>
    <w:uiPriority w:val="99"/>
    <w:unhideWhenUsed/>
    <w:rsid w:val="00247B8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uiPriority w:val="20"/>
    <w:qFormat/>
    <w:rsid w:val="00247B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ls.de" TargetMode="External"/><Relationship Id="rId18" Type="http://schemas.openxmlformats.org/officeDocument/2006/relationships/hyperlink" Target="https://www.gls.de/privatkunden/anlegen-sparen/fonds/fairworldfond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thikbank.de" TargetMode="External"/><Relationship Id="rId7" Type="http://schemas.openxmlformats.org/officeDocument/2006/relationships/endnotes" Target="endnotes.xml"/><Relationship Id="rId12" Type="http://schemas.openxmlformats.org/officeDocument/2006/relationships/hyperlink" Target="https://www.triodos.de/investieren/impact-portfolio" TargetMode="External"/><Relationship Id="rId17" Type="http://schemas.openxmlformats.org/officeDocument/2006/relationships/hyperlink" Target="https://www.gls.de/privatkunden/anlegen-sparen/fonds/baum-fair-future-fonds/" TargetMode="External"/><Relationship Id="rId25" Type="http://schemas.openxmlformats.org/officeDocument/2006/relationships/hyperlink" Target="https://www.ethikbank.de/geschaeftskunden/geschaeftskonto.html" TargetMode="External"/><Relationship Id="rId2" Type="http://schemas.openxmlformats.org/officeDocument/2006/relationships/numbering" Target="numbering.xml"/><Relationship Id="rId16" Type="http://schemas.openxmlformats.org/officeDocument/2006/relationships/hyperlink" Target="https://www.gls.de/privatkunden/anlegen-sparen/fonds/gls-ai-mikrofinanzfonds/" TargetMode="External"/><Relationship Id="rId20" Type="http://schemas.openxmlformats.org/officeDocument/2006/relationships/hyperlink" Target="https://www.gls.de/media/PDF/Broschueren/GLS_Bank/gls_anlage-und_finanzierungsgrundsaetz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odos.de" TargetMode="External"/><Relationship Id="rId24" Type="http://schemas.openxmlformats.org/officeDocument/2006/relationships/hyperlink" Target="http://www.17ziele.de" TargetMode="External"/><Relationship Id="rId5" Type="http://schemas.openxmlformats.org/officeDocument/2006/relationships/webSettings" Target="webSettings.xml"/><Relationship Id="rId15" Type="http://schemas.openxmlformats.org/officeDocument/2006/relationships/hyperlink" Target="https://www.gls.de/privatkunden/anlegen-sparen/fonds/gls-bank-klimafonds/" TargetMode="External"/><Relationship Id="rId23" Type="http://schemas.openxmlformats.org/officeDocument/2006/relationships/hyperlink" Target="https://www.umweltbank.de" TargetMode="External"/><Relationship Id="rId28" Type="http://schemas.openxmlformats.org/officeDocument/2006/relationships/theme" Target="theme/theme1.xml"/><Relationship Id="rId10" Type="http://schemas.openxmlformats.org/officeDocument/2006/relationships/hyperlink" Target="https://healthforfuture.de/wp-content/uploads/2021/10/20211028_H4F_Starter-Kit_Divestment.pdf" TargetMode="External"/><Relationship Id="rId19" Type="http://schemas.openxmlformats.org/officeDocument/2006/relationships/hyperlink" Target="https://www.ethikbank.de/geschaeftskunden/geschaeftskonto.html" TargetMode="External"/><Relationship Id="rId4" Type="http://schemas.openxmlformats.org/officeDocument/2006/relationships/settings" Target="settings.xml"/><Relationship Id="rId9" Type="http://schemas.openxmlformats.org/officeDocument/2006/relationships/hyperlink" Target="https://www.klimawandel-gesundheit.de/divestment-3" TargetMode="External"/><Relationship Id="rId14" Type="http://schemas.openxmlformats.org/officeDocument/2006/relationships/hyperlink" Target="https://www.gls.de/privatkunden/anlegen-sparen/fonds/gls-bank-aktienfonds/" TargetMode="External"/><Relationship Id="rId22" Type="http://schemas.openxmlformats.org/officeDocument/2006/relationships/hyperlink" Target="https://www.ethikbank.de/die-ethikbank/anlagekriterien.html" TargetMode="Externa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EF50C-6079-432E-A472-ABAA2BCE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5828</Characters>
  <Application>Microsoft Office Word</Application>
  <DocSecurity>0</DocSecurity>
  <Lines>48</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S. Becherer</cp:lastModifiedBy>
  <cp:revision>21</cp:revision>
  <cp:lastPrinted>2021-04-30T17:31:00Z</cp:lastPrinted>
  <dcterms:created xsi:type="dcterms:W3CDTF">2022-06-05T11:01:00Z</dcterms:created>
  <dcterms:modified xsi:type="dcterms:W3CDTF">2023-01-08T12:35:00Z</dcterms:modified>
</cp:coreProperties>
</file>